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启东市自来水厂有限公司硬密封闸阀2025-</w:t>
      </w:r>
      <w:r>
        <w:rPr>
          <w:rFonts w:hint="eastAsia" w:asciiTheme="minorEastAsia" w:hAnsiTheme="minorEastAsia"/>
          <w:b/>
          <w:spacing w:val="0"/>
          <w:sz w:val="32"/>
          <w:szCs w:val="32"/>
          <w:lang w:val="en-US" w:eastAsia="zh-CN"/>
        </w:rPr>
        <w:t>2026</w:t>
      </w:r>
      <w:r>
        <w:rPr>
          <w:rFonts w:hint="eastAsia" w:asciiTheme="minorEastAsia" w:hAnsiTheme="minorEastAsia" w:eastAsiaTheme="minorEastAsia"/>
          <w:b/>
          <w:spacing w:val="0"/>
          <w:sz w:val="32"/>
          <w:szCs w:val="32"/>
          <w:lang w:val="en-US" w:eastAsia="zh-CN"/>
        </w:rPr>
        <w:t>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启东市自来水厂有限公司的启东市自来水厂有限公司硬密封闸阀2025-2026年度采购项目即将实施，现就该项目进行市场询价调研。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一、采购需求：详见附件《启东市自来水厂有限公司硬密封闸阀2025-2026年度采购项目市场询价表》。</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质保要求：2年（含)以上。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参与报价的单位需将</w:t>
      </w:r>
      <w:r>
        <w:rPr>
          <w:rStyle w:val="29"/>
          <w:rFonts w:hint="eastAsia" w:ascii="宋体" w:hAnsi="宋体" w:eastAsia="宋体" w:cs="宋体"/>
          <w:kern w:val="0"/>
          <w:sz w:val="24"/>
          <w:szCs w:val="24"/>
          <w:highlight w:val="none"/>
          <w:lang w:val="en-US" w:eastAsia="zh-CN"/>
        </w:rPr>
        <w:t>有效的</w:t>
      </w:r>
      <w:r>
        <w:rPr>
          <w:rStyle w:val="29"/>
          <w:rFonts w:hint="eastAsia" w:ascii="宋体" w:hAnsi="宋体" w:eastAsia="宋体" w:cs="宋体"/>
          <w:b/>
          <w:bCs/>
          <w:kern w:val="0"/>
          <w:sz w:val="24"/>
          <w:szCs w:val="24"/>
          <w:highlight w:val="none"/>
        </w:rPr>
        <w:t>营业执照复印件和市场询价</w:t>
      </w:r>
      <w:r>
        <w:rPr>
          <w:rStyle w:val="29"/>
          <w:rFonts w:hint="eastAsia" w:ascii="宋体" w:hAnsi="宋体" w:eastAsia="宋体" w:cs="宋体"/>
          <w:b/>
          <w:bCs/>
          <w:kern w:val="0"/>
          <w:sz w:val="24"/>
          <w:szCs w:val="24"/>
          <w:highlight w:val="none"/>
          <w:lang w:val="en-US" w:eastAsia="zh-CN"/>
        </w:rPr>
        <w:t>报价单</w:t>
      </w:r>
      <w:r>
        <w:rPr>
          <w:rStyle w:val="29"/>
          <w:rFonts w:hint="eastAsia" w:ascii="宋体" w:hAnsi="宋体" w:eastAsia="宋体" w:cs="宋体"/>
          <w:kern w:val="0"/>
          <w:sz w:val="24"/>
          <w:szCs w:val="24"/>
          <w:highlight w:val="none"/>
          <w:lang w:val="en-US" w:eastAsia="zh-CN"/>
        </w:rPr>
        <w:t>（含汇总表及分项报价表）</w:t>
      </w:r>
      <w:bookmarkStart w:id="0" w:name="_GoBack"/>
      <w:r>
        <w:rPr>
          <w:rStyle w:val="29"/>
          <w:rFonts w:hint="eastAsia" w:ascii="宋体" w:hAnsi="宋体" w:eastAsia="宋体" w:cs="宋体"/>
          <w:kern w:val="0"/>
          <w:sz w:val="24"/>
          <w:szCs w:val="24"/>
          <w:highlight w:val="none"/>
        </w:rPr>
        <w:t>于202</w:t>
      </w: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年</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月</w:t>
      </w:r>
      <w:r>
        <w:rPr>
          <w:rStyle w:val="29"/>
          <w:rFonts w:hint="eastAsia" w:ascii="宋体" w:hAnsi="宋体" w:eastAsia="宋体" w:cs="宋体"/>
          <w:kern w:val="0"/>
          <w:sz w:val="24"/>
          <w:szCs w:val="24"/>
          <w:highlight w:val="none"/>
          <w:lang w:val="en-US" w:eastAsia="zh-CN"/>
        </w:rPr>
        <w:t>13</w:t>
      </w:r>
      <w:r>
        <w:rPr>
          <w:rStyle w:val="29"/>
          <w:rFonts w:hint="eastAsia" w:ascii="宋体" w:hAnsi="宋体" w:eastAsia="宋体" w:cs="宋体"/>
          <w:kern w:val="0"/>
          <w:sz w:val="24"/>
          <w:szCs w:val="24"/>
          <w:highlight w:val="none"/>
        </w:rPr>
        <w:t>日</w:t>
      </w:r>
      <w:r>
        <w:rPr>
          <w:rStyle w:val="29"/>
          <w:rFonts w:hint="eastAsia" w:ascii="宋体" w:hAnsi="宋体" w:eastAsia="宋体" w:cs="宋体"/>
          <w:kern w:val="0"/>
          <w:sz w:val="24"/>
          <w:szCs w:val="24"/>
          <w:highlight w:val="none"/>
        </w:rPr>
        <w:t>17:0</w:t>
      </w:r>
      <w:bookmarkEnd w:id="0"/>
      <w:r>
        <w:rPr>
          <w:rStyle w:val="29"/>
          <w:rFonts w:hint="eastAsia" w:ascii="宋体" w:hAnsi="宋体" w:eastAsia="宋体" w:cs="宋体"/>
          <w:kern w:val="0"/>
          <w:sz w:val="24"/>
          <w:szCs w:val="24"/>
          <w:highlight w:val="none"/>
        </w:rPr>
        <w:t>0前</w:t>
      </w:r>
      <w:r>
        <w:rPr>
          <w:rStyle w:val="29"/>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送或寄或者电子邮箱（以邮件收到时间为准）。送或寄的地址为：</w:t>
      </w:r>
      <w:r>
        <w:rPr>
          <w:rFonts w:hint="eastAsia" w:ascii="宋体" w:hAnsi="宋体" w:eastAsia="宋体" w:cs="宋体"/>
          <w:color w:val="auto"/>
          <w:sz w:val="24"/>
          <w:szCs w:val="24"/>
          <w:highlight w:val="none"/>
          <w:u w:val="single"/>
          <w:lang w:val="en-US" w:eastAsia="zh-CN"/>
        </w:rPr>
        <w:t>江苏天宏华信工程投资管理咨询有限公司（启东市南苑西路1168号国动产业园2号楼402室）</w:t>
      </w:r>
      <w:r>
        <w:rPr>
          <w:rFonts w:hint="eastAsia" w:ascii="宋体" w:hAnsi="宋体" w:eastAsia="宋体" w:cs="宋体"/>
          <w:color w:val="auto"/>
          <w:sz w:val="24"/>
          <w:szCs w:val="24"/>
          <w:highlight w:val="none"/>
        </w:rPr>
        <w:t>，</w:t>
      </w:r>
      <w:r>
        <w:rPr>
          <w:rStyle w:val="29"/>
          <w:rFonts w:hint="eastAsia" w:ascii="宋体" w:hAnsi="宋体" w:eastAsia="宋体" w:cs="宋体"/>
          <w:color w:val="auto"/>
          <w:sz w:val="24"/>
          <w:szCs w:val="24"/>
        </w:rPr>
        <w:t>联系人：</w:t>
      </w:r>
      <w:r>
        <w:rPr>
          <w:rStyle w:val="29"/>
          <w:rFonts w:hint="eastAsia" w:ascii="宋体" w:hAnsi="宋体" w:eastAsia="宋体" w:cs="宋体"/>
          <w:color w:val="auto"/>
          <w:sz w:val="24"/>
          <w:szCs w:val="24"/>
          <w:u w:val="single"/>
        </w:rPr>
        <w:t xml:space="preserve"> </w:t>
      </w:r>
      <w:r>
        <w:rPr>
          <w:rStyle w:val="29"/>
          <w:rFonts w:hint="eastAsia" w:ascii="宋体" w:hAnsi="宋体" w:eastAsia="宋体" w:cs="宋体"/>
          <w:color w:val="auto"/>
          <w:sz w:val="24"/>
          <w:szCs w:val="24"/>
          <w:u w:val="single"/>
          <w:lang w:eastAsia="zh-CN"/>
        </w:rPr>
        <w:t>杨女士</w:t>
      </w:r>
      <w:r>
        <w:rPr>
          <w:rStyle w:val="29"/>
          <w:rFonts w:hint="eastAsia" w:ascii="宋体" w:hAnsi="宋体" w:eastAsia="宋体" w:cs="宋体"/>
          <w:color w:val="auto"/>
          <w:sz w:val="24"/>
          <w:szCs w:val="24"/>
        </w:rPr>
        <w:t>，联系电话：</w:t>
      </w:r>
      <w:r>
        <w:rPr>
          <w:rStyle w:val="29"/>
          <w:rFonts w:hint="eastAsia" w:ascii="宋体" w:hAnsi="宋体" w:eastAsia="宋体" w:cs="宋体"/>
          <w:color w:val="auto"/>
          <w:sz w:val="24"/>
          <w:szCs w:val="24"/>
          <w:u w:val="single"/>
          <w:lang w:val="en-US" w:eastAsia="zh-CN"/>
        </w:rPr>
        <w:t>0513-83248588</w:t>
      </w:r>
      <w:r>
        <w:rPr>
          <w:rStyle w:val="29"/>
          <w:rFonts w:hint="eastAsia" w:ascii="宋体" w:hAnsi="宋体" w:eastAsia="宋体" w:cs="宋体"/>
          <w:color w:val="auto"/>
          <w:sz w:val="24"/>
          <w:szCs w:val="24"/>
        </w:rPr>
        <w:t>,电子邮箱地址为：</w:t>
      </w:r>
      <w:r>
        <w:rPr>
          <w:rStyle w:val="29"/>
          <w:rFonts w:hint="eastAsia" w:ascii="宋体" w:hAnsi="宋体" w:eastAsia="宋体" w:cs="宋体"/>
          <w:color w:val="auto"/>
          <w:sz w:val="24"/>
          <w:szCs w:val="24"/>
          <w:u w:val="single"/>
          <w:lang w:val="en-US" w:eastAsia="zh-CN"/>
        </w:rPr>
        <w:t>240876395@qq.com</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4</w:t>
      </w:r>
      <w:r>
        <w:rPr>
          <w:rStyle w:val="29"/>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w:t>
      </w:r>
      <w:r>
        <w:rPr>
          <w:rStyle w:val="29"/>
          <w:rFonts w:hint="eastAsia" w:ascii="宋体" w:hAnsi="宋体" w:eastAsia="宋体" w:cs="宋体"/>
          <w:color w:val="auto"/>
          <w:kern w:val="0"/>
          <w:sz w:val="24"/>
          <w:szCs w:val="24"/>
          <w:highlight w:val="none"/>
          <w:lang w:val="en-US" w:eastAsia="zh-CN"/>
        </w:rPr>
        <w:t>报价</w:t>
      </w:r>
      <w:r>
        <w:rPr>
          <w:rStyle w:val="29"/>
          <w:rFonts w:hint="eastAsia" w:ascii="宋体" w:hAnsi="宋体" w:eastAsia="宋体" w:cs="宋体"/>
          <w:color w:val="auto"/>
          <w:kern w:val="0"/>
          <w:sz w:val="24"/>
          <w:szCs w:val="24"/>
          <w:highlight w:val="none"/>
        </w:rPr>
        <w:t>人</w:t>
      </w:r>
      <w:r>
        <w:rPr>
          <w:rStyle w:val="29"/>
          <w:rFonts w:hint="eastAsia" w:ascii="宋体" w:hAnsi="宋体" w:eastAsia="宋体" w:cs="宋体"/>
          <w:color w:val="auto"/>
          <w:kern w:val="0"/>
          <w:sz w:val="24"/>
          <w:szCs w:val="24"/>
          <w:highlight w:val="none"/>
          <w:lang w:val="en-US" w:eastAsia="zh-CN"/>
        </w:rPr>
        <w:t>需考虑投标时</w:t>
      </w:r>
      <w:r>
        <w:rPr>
          <w:rStyle w:val="29"/>
          <w:rFonts w:hint="eastAsia" w:ascii="宋体" w:hAnsi="宋体" w:eastAsia="宋体" w:cs="宋体"/>
          <w:color w:val="auto"/>
          <w:kern w:val="0"/>
          <w:sz w:val="24"/>
          <w:szCs w:val="24"/>
          <w:highlight w:val="non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6</w:t>
      </w:r>
      <w:r>
        <w:rPr>
          <w:rStyle w:val="29"/>
          <w:rFonts w:hint="eastAsia" w:ascii="宋体" w:hAnsi="宋体" w:eastAsia="宋体" w:cs="宋体"/>
          <w:kern w:val="0"/>
          <w:sz w:val="24"/>
          <w:szCs w:val="24"/>
          <w:highlight w:val="none"/>
        </w:rPr>
        <w:t>.拟定支付方式及期限：银行转账，按启东市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9"/>
          <w:rFonts w:hint="eastAsia" w:ascii="宋体" w:hAnsi="宋体" w:eastAsia="宋体" w:cs="宋体"/>
          <w:kern w:val="0"/>
          <w:sz w:val="24"/>
          <w:szCs w:val="24"/>
          <w:highlight w:val="none"/>
          <w:lang w:val="en-US" w:eastAsia="zh-CN"/>
        </w:rPr>
        <w:t>7</w:t>
      </w:r>
      <w:r>
        <w:rPr>
          <w:rStyle w:val="29"/>
          <w:rFonts w:hint="eastAsia" w:ascii="宋体" w:hAnsi="宋体" w:eastAsia="宋体" w:cs="宋体"/>
          <w:kern w:val="0"/>
          <w:sz w:val="24"/>
          <w:szCs w:val="24"/>
          <w:highlight w:val="none"/>
        </w:rPr>
        <w:t>.其他：</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请报价单位认真核算、如实报价，如发现虚假报价的，该单位今后将</w:t>
      </w:r>
      <w:r>
        <w:rPr>
          <w:rStyle w:val="29"/>
          <w:rFonts w:hint="eastAsia" w:ascii="宋体" w:hAnsi="宋体" w:eastAsia="宋体" w:cs="宋体"/>
          <w:kern w:val="0"/>
          <w:sz w:val="24"/>
          <w:szCs w:val="24"/>
          <w:highlight w:val="none"/>
          <w:lang w:val="en-US" w:eastAsia="zh-CN"/>
        </w:rPr>
        <w:t>记入</w:t>
      </w:r>
      <w:r>
        <w:rPr>
          <w:rStyle w:val="29"/>
          <w:rFonts w:hint="eastAsia" w:ascii="宋体" w:hAnsi="宋体" w:eastAsia="宋体" w:cs="宋体"/>
          <w:kern w:val="0"/>
          <w:sz w:val="24"/>
          <w:szCs w:val="24"/>
          <w:highlight w:val="none"/>
        </w:rPr>
        <w:t>采购</w:t>
      </w:r>
      <w:r>
        <w:rPr>
          <w:rStyle w:val="29"/>
          <w:rFonts w:hint="eastAsia" w:ascii="宋体" w:hAnsi="宋体" w:eastAsia="宋体" w:cs="宋体"/>
          <w:kern w:val="0"/>
          <w:sz w:val="24"/>
          <w:szCs w:val="24"/>
          <w:highlight w:val="none"/>
          <w:lang w:val="en-US" w:eastAsia="zh-CN"/>
        </w:rPr>
        <w:t>人招标市场的黑名单</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本次报价仅作为市场调研用，因此价格仅供参考；</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宋体" w:hAnsi="宋体" w:eastAsia="宋体" w:cs="宋体"/>
          <w:kern w:val="0"/>
          <w:sz w:val="24"/>
          <w:szCs w:val="24"/>
          <w:highlight w:val="yellow"/>
          <w:lang w:val="en-US" w:eastAsia="zh-CN" w:bidi="ar-SA"/>
        </w:rPr>
      </w:pPr>
      <w:r>
        <w:rPr>
          <w:rStyle w:val="29"/>
          <w:rFonts w:hint="eastAsia" w:ascii="宋体" w:hAnsi="宋体" w:eastAsia="宋体" w:cs="宋体"/>
          <w:kern w:val="0"/>
          <w:sz w:val="24"/>
          <w:szCs w:val="24"/>
          <w:highlight w:val="none"/>
          <w:lang w:val="en-US" w:eastAsia="zh-CN" w:bidi="ar-SA"/>
        </w:rPr>
        <w:t>2025年3月10日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25FA18C2">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rFonts w:hint="eastAsia" w:ascii="宋体" w:hAnsi="宋体" w:cs="宋体"/>
          <w:b/>
          <w:sz w:val="32"/>
          <w:szCs w:val="32"/>
          <w:lang w:val="en-US" w:eastAsia="zh-CN"/>
        </w:rPr>
        <w:t>启东市自来水厂有限公司硬密封闸阀2025-2026年度采购项目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市场询价表</w:t>
      </w:r>
    </w:p>
    <w:tbl>
      <w:tblPr>
        <w:tblStyle w:val="18"/>
        <w:tblW w:w="9972"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458"/>
        <w:gridCol w:w="1068"/>
        <w:gridCol w:w="746"/>
        <w:gridCol w:w="1152"/>
        <w:gridCol w:w="1056"/>
        <w:gridCol w:w="948"/>
        <w:gridCol w:w="840"/>
        <w:gridCol w:w="1044"/>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389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6A4CA0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8" w:type="dxa"/>
            <w:vMerge w:val="restart"/>
            <w:tcBorders>
              <w:top w:val="single" w:color="000000" w:sz="4" w:space="0"/>
              <w:left w:val="single" w:color="000000" w:sz="4" w:space="0"/>
              <w:right w:val="single" w:color="000000"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硬密封闸阀</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2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8" w:type="dxa"/>
            <w:vMerge w:val="continue"/>
            <w:tcBorders>
              <w:left w:val="single" w:color="000000" w:sz="4" w:space="0"/>
              <w:right w:val="single" w:color="000000" w:sz="4" w:space="0"/>
            </w:tcBorders>
            <w:shd w:val="clear" w:color="auto" w:fill="auto"/>
            <w:noWrap/>
            <w:vAlign w:val="center"/>
          </w:tcPr>
          <w:p w14:paraId="7813A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8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6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1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58" w:type="dxa"/>
            <w:vMerge w:val="continue"/>
            <w:tcBorders>
              <w:left w:val="single" w:color="000000" w:sz="4" w:space="0"/>
              <w:bottom w:val="single" w:color="000000" w:sz="4" w:space="0"/>
              <w:right w:val="single" w:color="000000"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1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685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7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4、报价人提供的投标产品有2022年以来质量监督检测中心出具的检验报告；</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报价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4A968986">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6、报价人有自2022年以来有类似的供货业绩（提供相对应的合同、发票扫描件，加盖公章）。</w:t>
            </w:r>
          </w:p>
          <w:p w14:paraId="619ADC48">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二、相关技术要求:</w:t>
            </w:r>
          </w:p>
          <w:p w14:paraId="7176D52B">
            <w:pPr>
              <w:spacing w:line="240" w:lineRule="auto"/>
              <w:ind w:firstLine="482" w:firstLineChars="20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（一）设计标准：</w:t>
            </w:r>
          </w:p>
          <w:p w14:paraId="0A439267">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1）闸阀的设计、制造按GB/T12232</w:t>
            </w:r>
          </w:p>
          <w:p w14:paraId="44D8565D">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2）法兰连接尺寸：按GB/T17241.6铸铁管法兰</w:t>
            </w:r>
          </w:p>
          <w:p w14:paraId="4AE77E80">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3）结构长度：GB/T12221</w:t>
            </w:r>
          </w:p>
          <w:p w14:paraId="09DAD97E">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4）材质执行标准：球墨铸铁GB/T12227 铜合金GB/T12225 不锈钢GB/T1220</w:t>
            </w:r>
          </w:p>
          <w:p w14:paraId="5F1920C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5）压力试验：GB/T13927-C级</w:t>
            </w:r>
          </w:p>
          <w:p w14:paraId="2D037719">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6）阀门的标志内容及标识方法按GB/T12220</w:t>
            </w:r>
          </w:p>
          <w:p w14:paraId="636366D7">
            <w:pPr>
              <w:spacing w:line="240" w:lineRule="auto"/>
              <w:ind w:firstLine="482" w:firstLineChars="20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（二）闸阀零部件设计、制造：</w:t>
            </w:r>
          </w:p>
          <w:p w14:paraId="2783182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1）阀体：材质为球墨铸铁QT450。法兰与阀体铸成整体，其法兰连接尺寸和密封面的形状、尺寸，按GB/T1724.6设计、制造，法兰密封面为平面式。阀体内径与阀体通径一致。</w:t>
            </w:r>
          </w:p>
          <w:p w14:paraId="57D834E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端法兰密封面相互平行，其平行度在国标GB/T1184的12级精度范围内。</w:t>
            </w:r>
          </w:p>
          <w:p w14:paraId="4C6DED8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2）阀盖：阀盖的壁厚材质同阀体，其材质为球墨铸铁QT450。</w:t>
            </w:r>
          </w:p>
          <w:p w14:paraId="7BFE5006">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阀体和阀盖的连接为法兰连接，其密封面为平面式。与阀体连接的螺栓数量均大于4的倍数。</w:t>
            </w:r>
          </w:p>
          <w:p w14:paraId="0BFCD6C7">
            <w:pPr>
              <w:spacing w:line="24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lang w:val="zh-CN"/>
              </w:rPr>
              <w:t>闸板：闸板材质为球墨铸铁QT450。楔式单闸板、闸板密封面为铜堆焊。其铜堆焊层厚度不小于2mm，材质为锰黄铜，闸板的磨损余量均不小于下表</w:t>
            </w:r>
            <w:r>
              <w:rPr>
                <w:rFonts w:hint="eastAsia" w:ascii="宋体" w:hAnsi="宋体" w:eastAsia="宋体" w:cs="宋体"/>
                <w:color w:val="000000"/>
                <w:sz w:val="24"/>
                <w:szCs w:val="24"/>
              </w:rPr>
              <w:t>：</w:t>
            </w:r>
          </w:p>
          <w:tbl>
            <w:tblPr>
              <w:tblStyle w:val="18"/>
              <w:tblW w:w="0" w:type="auto"/>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35"/>
              <w:gridCol w:w="3799"/>
            </w:tblGrid>
            <w:tr w14:paraId="2DB35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7DF806F9">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公称通行</w:t>
                  </w:r>
                </w:p>
              </w:tc>
              <w:tc>
                <w:tcPr>
                  <w:tcW w:w="3799" w:type="dxa"/>
                  <w:vAlign w:val="center"/>
                </w:tcPr>
                <w:p w14:paraId="68FFB7D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位移余量</w:t>
                  </w:r>
                </w:p>
              </w:tc>
            </w:tr>
            <w:tr w14:paraId="3420D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6D76B31F">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100~150</w:t>
                  </w:r>
                </w:p>
              </w:tc>
              <w:tc>
                <w:tcPr>
                  <w:tcW w:w="3799" w:type="dxa"/>
                  <w:vAlign w:val="center"/>
                </w:tcPr>
                <w:p w14:paraId="18B3653A">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r>
            <w:tr w14:paraId="2E9E5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68E6506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200~300</w:t>
                  </w:r>
                </w:p>
              </w:tc>
              <w:tc>
                <w:tcPr>
                  <w:tcW w:w="3799" w:type="dxa"/>
                  <w:vAlign w:val="center"/>
                </w:tcPr>
                <w:p w14:paraId="24BF3ACC">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6.4</w:t>
                  </w:r>
                </w:p>
              </w:tc>
            </w:tr>
            <w:tr w14:paraId="3AFDE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3528B538">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350~450</w:t>
                  </w:r>
                </w:p>
              </w:tc>
              <w:tc>
                <w:tcPr>
                  <w:tcW w:w="3799" w:type="dxa"/>
                  <w:vAlign w:val="center"/>
                </w:tcPr>
                <w:p w14:paraId="3587812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9.7</w:t>
                  </w:r>
                </w:p>
              </w:tc>
            </w:tr>
            <w:tr w14:paraId="51D7F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3831869B">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w:t>
                  </w:r>
                </w:p>
              </w:tc>
              <w:tc>
                <w:tcPr>
                  <w:tcW w:w="3799" w:type="dxa"/>
                  <w:vAlign w:val="center"/>
                </w:tcPr>
                <w:p w14:paraId="2D1EC63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12.7</w:t>
                  </w:r>
                </w:p>
              </w:tc>
            </w:tr>
          </w:tbl>
          <w:p w14:paraId="6AC8EB9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闸板在全开时，其底部高于阀体通径</w:t>
            </w:r>
          </w:p>
          <w:p w14:paraId="701D6CD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4）密封：DN300以下阀体密封圈为锰黄铜，密封面镶铜圈，采用燕尾式结构，用压力机压入阀体内，其结构型式密封性能好，结合牢固。DN400-600阀体密封面采用锰黄铜整体堆焊。</w:t>
            </w:r>
          </w:p>
          <w:p w14:paraId="108753F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5）阀体、阀盖和闸板：阀体、阀盖设有导轨槽，闸板设有导轨。闸板在上、下运动的过程中，始终保持其密封面的半心线与阀杆中心线一致，使其密封面和磨损减少到最小。</w:t>
            </w:r>
          </w:p>
          <w:p w14:paraId="537B0D8E">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6）阀杆：阀杆材质为铸锰黄铜，阀杆整体成型，不允许使用对开环。</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5133"/>
            </w:tblGrid>
            <w:tr w14:paraId="74293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061" w:type="dxa"/>
                  <w:vAlign w:val="center"/>
                </w:tcPr>
                <w:p w14:paraId="051EE69C">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公称通径</w:t>
                  </w:r>
                </w:p>
              </w:tc>
              <w:tc>
                <w:tcPr>
                  <w:tcW w:w="5133" w:type="dxa"/>
                  <w:vAlign w:val="center"/>
                </w:tcPr>
                <w:p w14:paraId="081924C2">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国标阀杆直径</w:t>
                  </w:r>
                </w:p>
              </w:tc>
            </w:tr>
            <w:tr w14:paraId="6FFF9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63F8E0CB">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w:t>
                  </w:r>
                </w:p>
              </w:tc>
              <w:tc>
                <w:tcPr>
                  <w:tcW w:w="5133" w:type="dxa"/>
                  <w:vAlign w:val="center"/>
                </w:tcPr>
                <w:p w14:paraId="17637D15">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w:t>
                  </w:r>
                </w:p>
              </w:tc>
            </w:tr>
            <w:tr w14:paraId="0870B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4A36304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w:t>
                  </w:r>
                </w:p>
              </w:tc>
              <w:tc>
                <w:tcPr>
                  <w:tcW w:w="5133" w:type="dxa"/>
                  <w:vAlign w:val="center"/>
                </w:tcPr>
                <w:p w14:paraId="6378BB44">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39048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0E882775">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w:t>
                  </w:r>
                </w:p>
              </w:tc>
              <w:tc>
                <w:tcPr>
                  <w:tcW w:w="5133" w:type="dxa"/>
                  <w:vAlign w:val="center"/>
                </w:tcPr>
                <w:p w14:paraId="444F1E62">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15B04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492F5445">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w:t>
                  </w:r>
                </w:p>
              </w:tc>
              <w:tc>
                <w:tcPr>
                  <w:tcW w:w="5133" w:type="dxa"/>
                  <w:vAlign w:val="center"/>
                </w:tcPr>
                <w:p w14:paraId="1A15F233">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bl>
          <w:p w14:paraId="41B172B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杆在设计时留有足够的长度，保证在阀门关闭时，阀杆同阀杆螺母完全吻合，并留有一定的长度露出阀杆螺母进入闸板内孔，以便其导向作用。在阀门开启时，闸板顺利上升。阀门全开时，保证阀杆下头不超过通径。</w:t>
            </w:r>
          </w:p>
          <w:p w14:paraId="5D0A594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7）阀杆螺母：阀杆螺母的总高均大于阀杆直径的1.4倍，材质为铸锰黄铜。</w:t>
            </w:r>
          </w:p>
          <w:p w14:paraId="78CE219E">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8）填料：采用柔性石墨填料或O型圈，</w:t>
            </w:r>
          </w:p>
          <w:p w14:paraId="1AC8F058">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9）填料压盖：材质为球墨铸铁QT450。填料压盖采用带孔整体式。</w:t>
            </w:r>
          </w:p>
          <w:p w14:paraId="1427E4F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10）手轮：手轮材质为球墨铸铁QT450，手轮边缘铸有箭头，并指向“关”字。其开关方向为顺时针转动为关。</w:t>
            </w:r>
          </w:p>
          <w:p w14:paraId="17E5E3D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11）产品整体采用先进的防腐处理技术，防腐涂层具有良好的附着力和优越的防锈性能，能有效的阻断阀门生锈，对水质造成的二次污染，并大大提高阀门的使用性能。</w:t>
            </w:r>
          </w:p>
          <w:p w14:paraId="113DB92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12）阀门的内腔清洁度按JB/T7748标准执行。阀门的卫生性能按GB/T17219标准执行。</w:t>
            </w:r>
          </w:p>
          <w:p w14:paraId="6045B0E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13）压力试验：每台阀门出厂前都必须进行密封试验（上密封和下密封）壳体试验。检验步骤和方法按GB/T13927标准执行。</w:t>
            </w:r>
          </w:p>
          <w:p w14:paraId="3BAE780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14）油漆：喷涂环氧树脂漆，共喷三遍，涂层厚度325-350um。</w:t>
            </w:r>
          </w:p>
          <w:p w14:paraId="2E9ADB4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15）内腔清洁度：按JB/T 7748标准测定方法执行（抽检）。</w:t>
            </w:r>
          </w:p>
          <w:p w14:paraId="39699EC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16）标志检验：闸阀标志符合GB/T12220要求，产品阀体上需铸出阀体材质QT450字样及产品注册商标。</w:t>
            </w:r>
          </w:p>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3F8354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三、本项目招标不接受联合体投标。</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四、本项目参考品牌：中核苏阀SUFA(苏州）、ZJ竹机牌（江苏溧阳竹箦）、</w:t>
            </w:r>
            <w:r>
              <w:rPr>
                <w:rFonts w:hint="eastAsia" w:ascii="宋体" w:hAnsi="宋体" w:eastAsia="宋体" w:cs="宋体"/>
                <w:b/>
                <w:bCs/>
                <w:i w:val="0"/>
                <w:iCs w:val="0"/>
                <w:color w:val="auto"/>
                <w:kern w:val="0"/>
                <w:sz w:val="24"/>
                <w:szCs w:val="24"/>
                <w:highlight w:val="none"/>
                <w:u w:val="none"/>
                <w:lang w:val="en-US" w:eastAsia="zh-CN" w:bidi="ar"/>
              </w:rPr>
              <w:t>铜都流体牌（安徽铜都）</w:t>
            </w:r>
            <w:r>
              <w:rPr>
                <w:rFonts w:hint="eastAsia" w:ascii="宋体" w:hAnsi="宋体" w:eastAsia="宋体" w:cs="宋体"/>
                <w:b/>
                <w:bCs/>
                <w:i w:val="0"/>
                <w:iCs w:val="0"/>
                <w:color w:val="auto"/>
                <w:kern w:val="0"/>
                <w:sz w:val="24"/>
                <w:szCs w:val="24"/>
                <w:u w:val="none"/>
                <w:lang w:val="en-US" w:eastAsia="zh-CN" w:bidi="ar"/>
              </w:rPr>
              <w:t>、辰龙牌（江苏徐州）、白湖牌（安徽庐江），参加报价的供应商如以参考品牌进行报价的，需提供所投品牌商标证明（若为经销商的，需提供所投品牌的授权委</w:t>
            </w:r>
            <w:r>
              <w:rPr>
                <w:rFonts w:hint="eastAsia" w:ascii="宋体" w:hAnsi="宋体" w:eastAsia="宋体" w:cs="宋体"/>
                <w:b/>
                <w:bCs/>
                <w:i w:val="0"/>
                <w:iCs w:val="0"/>
                <w:color w:val="000000"/>
                <w:kern w:val="0"/>
                <w:sz w:val="24"/>
                <w:szCs w:val="24"/>
                <w:u w:val="none"/>
                <w:lang w:val="en-US" w:eastAsia="zh-CN" w:bidi="ar"/>
              </w:rPr>
              <w:t xml:space="preserve">托书及品牌商标证明）；本次参与询价的报价供应商如以参考品牌之外的进行报价，报价产品的技术参数或质量标准不得低于参考品牌的档次，同时报价供应商应当提供拟投货物的技术资料及相关证明材料复印件并加盖公章与报价文件、资格要求的证明材料，以邮寄方式到达指定接收地址为准（江苏天宏华信工程投资管理咨询有限公司（启东市南苑西路1168号国动产业园2号楼402室），联系人：杨女士，联系电话：0513-83248588）。                                                                                            </w:t>
            </w:r>
          </w:p>
        </w:tc>
      </w:tr>
    </w:tbl>
    <w:p w14:paraId="3C7C6AD6">
      <w:pPr>
        <w:pStyle w:val="2"/>
        <w:rPr>
          <w:rFonts w:hint="eastAsia"/>
          <w:lang w:val="en-US" w:eastAsia="zh-CN"/>
        </w:rPr>
      </w:pPr>
    </w:p>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7330DDCC">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p w14:paraId="4795DD99">
      <w:pPr>
        <w:rPr>
          <w:rFonts w:hint="default" w:ascii="宋体" w:hAnsi="宋体" w:eastAsia="宋体" w:cs="宋体"/>
          <w:b/>
          <w:color w:val="auto"/>
          <w:kern w:val="0"/>
          <w:sz w:val="28"/>
          <w:szCs w:val="28"/>
          <w:highlight w:val="none"/>
          <w:lang w:val="en-US" w:eastAsia="zh-CN"/>
        </w:rPr>
      </w:pPr>
    </w:p>
    <w:p w14:paraId="355F61AA">
      <w:pPr>
        <w:pStyle w:val="2"/>
        <w:rPr>
          <w:rFonts w:hint="default" w:ascii="宋体" w:hAnsi="宋体" w:eastAsia="宋体" w:cs="宋体"/>
          <w:b/>
          <w:color w:val="auto"/>
          <w:kern w:val="0"/>
          <w:sz w:val="28"/>
          <w:szCs w:val="28"/>
          <w:highlight w:val="none"/>
          <w:lang w:val="en-US" w:eastAsia="zh-CN"/>
        </w:rPr>
      </w:pPr>
    </w:p>
    <w:p w14:paraId="010E87B6">
      <w:pPr>
        <w:rPr>
          <w:rFonts w:hint="default" w:ascii="宋体" w:hAnsi="宋体" w:eastAsia="宋体" w:cs="宋体"/>
          <w:b/>
          <w:color w:val="auto"/>
          <w:kern w:val="0"/>
          <w:sz w:val="28"/>
          <w:szCs w:val="28"/>
          <w:highlight w:val="none"/>
          <w:lang w:val="en-US" w:eastAsia="zh-CN"/>
        </w:rPr>
      </w:pPr>
    </w:p>
    <w:p w14:paraId="2E99BD8C">
      <w:pPr>
        <w:pStyle w:val="2"/>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81F710D"/>
    <w:rsid w:val="08767CBA"/>
    <w:rsid w:val="09CE1802"/>
    <w:rsid w:val="0ADA1283"/>
    <w:rsid w:val="0B837613"/>
    <w:rsid w:val="0C807FF6"/>
    <w:rsid w:val="0C922E30"/>
    <w:rsid w:val="0D18108F"/>
    <w:rsid w:val="0D9A7247"/>
    <w:rsid w:val="0EE36B7D"/>
    <w:rsid w:val="0F0243F5"/>
    <w:rsid w:val="0F6618B1"/>
    <w:rsid w:val="108154AD"/>
    <w:rsid w:val="12EA747F"/>
    <w:rsid w:val="13121E77"/>
    <w:rsid w:val="13455F77"/>
    <w:rsid w:val="14AA41AE"/>
    <w:rsid w:val="15B72A35"/>
    <w:rsid w:val="15C50828"/>
    <w:rsid w:val="183C6614"/>
    <w:rsid w:val="19F13E85"/>
    <w:rsid w:val="1A850712"/>
    <w:rsid w:val="1B932687"/>
    <w:rsid w:val="1BCA6B98"/>
    <w:rsid w:val="1CAC06B2"/>
    <w:rsid w:val="1E8B21FB"/>
    <w:rsid w:val="221847B8"/>
    <w:rsid w:val="2262713B"/>
    <w:rsid w:val="228D26CE"/>
    <w:rsid w:val="22CA2753"/>
    <w:rsid w:val="240E2A35"/>
    <w:rsid w:val="24BA1822"/>
    <w:rsid w:val="251A293E"/>
    <w:rsid w:val="257C6C31"/>
    <w:rsid w:val="270B5BBD"/>
    <w:rsid w:val="27B57E67"/>
    <w:rsid w:val="27D1139A"/>
    <w:rsid w:val="2940272E"/>
    <w:rsid w:val="2B54029B"/>
    <w:rsid w:val="2CEF3FB8"/>
    <w:rsid w:val="2ED5212C"/>
    <w:rsid w:val="30552FD2"/>
    <w:rsid w:val="309803CF"/>
    <w:rsid w:val="30C90D87"/>
    <w:rsid w:val="30F33128"/>
    <w:rsid w:val="314C442C"/>
    <w:rsid w:val="322A22B1"/>
    <w:rsid w:val="33BD1146"/>
    <w:rsid w:val="369F5064"/>
    <w:rsid w:val="36F07953"/>
    <w:rsid w:val="3885236D"/>
    <w:rsid w:val="391E3890"/>
    <w:rsid w:val="3AF066C3"/>
    <w:rsid w:val="3BEA51F5"/>
    <w:rsid w:val="3C0733A8"/>
    <w:rsid w:val="3C6A6406"/>
    <w:rsid w:val="3D2C0ADF"/>
    <w:rsid w:val="3E1E176E"/>
    <w:rsid w:val="3E202F15"/>
    <w:rsid w:val="3E9078C4"/>
    <w:rsid w:val="3FD55619"/>
    <w:rsid w:val="404B6C28"/>
    <w:rsid w:val="420951A2"/>
    <w:rsid w:val="424A7A77"/>
    <w:rsid w:val="42875CFB"/>
    <w:rsid w:val="42C92294"/>
    <w:rsid w:val="43132246"/>
    <w:rsid w:val="45FA78C3"/>
    <w:rsid w:val="47675677"/>
    <w:rsid w:val="48F53072"/>
    <w:rsid w:val="494621F7"/>
    <w:rsid w:val="4C7F348C"/>
    <w:rsid w:val="4CA44F5B"/>
    <w:rsid w:val="4F25246D"/>
    <w:rsid w:val="50EA7F43"/>
    <w:rsid w:val="50F06B23"/>
    <w:rsid w:val="513973A6"/>
    <w:rsid w:val="51ED6A4B"/>
    <w:rsid w:val="52304CA0"/>
    <w:rsid w:val="535C59AD"/>
    <w:rsid w:val="54F36E09"/>
    <w:rsid w:val="558820D0"/>
    <w:rsid w:val="57346FE0"/>
    <w:rsid w:val="57F83763"/>
    <w:rsid w:val="59DB49CF"/>
    <w:rsid w:val="5A3B2D3C"/>
    <w:rsid w:val="5A683FFF"/>
    <w:rsid w:val="5AA769EB"/>
    <w:rsid w:val="5B546ADF"/>
    <w:rsid w:val="5C664E8E"/>
    <w:rsid w:val="5C910764"/>
    <w:rsid w:val="5DBF29C4"/>
    <w:rsid w:val="5F5E0F4F"/>
    <w:rsid w:val="62D85246"/>
    <w:rsid w:val="631F5A7F"/>
    <w:rsid w:val="641454FD"/>
    <w:rsid w:val="662752EF"/>
    <w:rsid w:val="66DD5F97"/>
    <w:rsid w:val="68BA0755"/>
    <w:rsid w:val="68E65C61"/>
    <w:rsid w:val="693F2885"/>
    <w:rsid w:val="6B342BA7"/>
    <w:rsid w:val="6C5C77B9"/>
    <w:rsid w:val="6CF54EC6"/>
    <w:rsid w:val="6D983C19"/>
    <w:rsid w:val="6F8F0EBD"/>
    <w:rsid w:val="6FB438A3"/>
    <w:rsid w:val="701F75C9"/>
    <w:rsid w:val="703F45D4"/>
    <w:rsid w:val="708F5A33"/>
    <w:rsid w:val="71072C9F"/>
    <w:rsid w:val="724D47CD"/>
    <w:rsid w:val="736E263D"/>
    <w:rsid w:val="73F3271F"/>
    <w:rsid w:val="755D5634"/>
    <w:rsid w:val="7638442C"/>
    <w:rsid w:val="77B84EF4"/>
    <w:rsid w:val="78937BBC"/>
    <w:rsid w:val="79852FF6"/>
    <w:rsid w:val="7ACC2155"/>
    <w:rsid w:val="7C156B31"/>
    <w:rsid w:val="7C5E095D"/>
    <w:rsid w:val="7CB80EEC"/>
    <w:rsid w:val="7D105E6B"/>
    <w:rsid w:val="7D1C36F2"/>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2859</Words>
  <Characters>3252</Characters>
  <Lines>39</Lines>
  <Paragraphs>10</Paragraphs>
  <TotalTime>18</TotalTime>
  <ScaleCrop>false</ScaleCrop>
  <LinksUpToDate>false</LinksUpToDate>
  <CharactersWithSpaces>3429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Stella</cp:lastModifiedBy>
  <cp:lastPrinted>2025-02-20T08:51:00Z</cp:lastPrinted>
  <dcterms:modified xsi:type="dcterms:W3CDTF">2025-03-10T06:10:12Z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5F3B43D7E2D741A38991340ED9378569_13</vt:lpwstr>
  </property>
  <property fmtid="{D5CDD505-2E9C-101B-9397-08002B2CF9AE}" pid="4" name="KSOTemplateDocerSaveRecord">
    <vt:lpwstr>eyJoZGlkIjoiZTNlMmY5YjcxZTRkZjg5N2MyMWI3YzFkZTQ2OTdlZWQiLCJ1c2VySWQiOiI0NTEyNTg0MjYifQ==</vt:lpwstr>
  </property>
</Properties>
</file>