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6E96803B">
      <w:pPr>
        <w:pStyle w:val="2"/>
        <w:spacing w:line="252" w:lineRule="auto"/>
        <w:jc w:val="center"/>
        <w:rPr>
          <w:color w:val="auto"/>
          <w:highlight w:val="none"/>
        </w:rPr>
      </w:pPr>
      <w:r>
        <w:rPr>
          <w:rFonts w:hint="eastAsia" w:ascii="宋体" w:hAnsi="宋体" w:eastAsia="宋体" w:cs="宋体"/>
          <w:b/>
          <w:bCs/>
          <w:color w:val="auto"/>
          <w:spacing w:val="34"/>
          <w:sz w:val="44"/>
          <w:szCs w:val="44"/>
          <w:highlight w:val="none"/>
          <w:lang w:val="en-US" w:eastAsia="zh-CN"/>
        </w:rPr>
        <w:t>启东市自来水厂有限公司复合表箱、检查井盖2025-2026年度采购项目</w:t>
      </w: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05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12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启东市自来水厂有限公司的委托，就</w:t>
      </w:r>
      <w:r>
        <w:rPr>
          <w:rFonts w:hint="eastAsia" w:ascii="宋体" w:hAnsi="宋体" w:eastAsia="宋体" w:cs="宋体"/>
          <w:color w:val="auto"/>
          <w:spacing w:val="0"/>
          <w:position w:val="0"/>
          <w:sz w:val="28"/>
          <w:szCs w:val="28"/>
          <w:highlight w:val="none"/>
          <w:lang w:val="en-US" w:eastAsia="zh-CN"/>
        </w:rPr>
        <w:t>启东市自来水厂有限公司复合表箱、检查井盖2025-2026年度采购项目</w:t>
      </w:r>
      <w:r>
        <w:rPr>
          <w:rFonts w:hint="eastAsia" w:ascii="宋体" w:hAnsi="宋体" w:eastAsia="宋体" w:cs="宋体"/>
          <w:color w:val="auto"/>
          <w:spacing w:val="0"/>
          <w:position w:val="0"/>
          <w:sz w:val="28"/>
          <w:szCs w:val="28"/>
          <w:highlight w:val="none"/>
          <w:lang w:eastAsia="zh-CN"/>
        </w:rPr>
        <w:t>进行询</w:t>
      </w:r>
      <w:r>
        <w:rPr>
          <w:rFonts w:hint="eastAsia" w:ascii="宋体" w:hAnsi="宋体" w:eastAsia="宋体" w:cs="宋体"/>
          <w:color w:val="auto"/>
          <w:spacing w:val="0"/>
          <w:position w:val="0"/>
          <w:sz w:val="28"/>
          <w:szCs w:val="28"/>
          <w:highlight w:val="none"/>
        </w:rPr>
        <w:t>价采购，欢迎符合条件的供应商响应。</w:t>
      </w:r>
    </w:p>
    <w:tbl>
      <w:tblPr>
        <w:tblStyle w:val="9"/>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napToGrid w:val="0"/>
                <w:color w:val="auto"/>
                <w:spacing w:val="0"/>
                <w:kern w:val="0"/>
                <w:position w:val="0"/>
                <w:sz w:val="28"/>
                <w:szCs w:val="28"/>
                <w:highlight w:val="none"/>
                <w:lang w:val="en-US" w:eastAsia="zh-CN" w:bidi="ar-SA"/>
              </w:rPr>
            </w:pPr>
            <w:r>
              <w:rPr>
                <w:rFonts w:hint="eastAsia" w:ascii="宋体" w:hAnsi="宋体" w:eastAsia="宋体" w:cs="宋体"/>
                <w:snapToGrid w:val="0"/>
                <w:color w:val="auto"/>
                <w:spacing w:val="0"/>
                <w:kern w:val="0"/>
                <w:position w:val="0"/>
                <w:sz w:val="28"/>
                <w:szCs w:val="28"/>
                <w:highlight w:val="none"/>
                <w:lang w:val="en-US" w:eastAsia="zh-CN" w:bidi="ar-SA"/>
              </w:rPr>
              <w:t>项目概况</w:t>
            </w:r>
          </w:p>
          <w:p w14:paraId="09A5C04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snapToGrid w:val="0"/>
                <w:color w:val="auto"/>
                <w:spacing w:val="0"/>
                <w:kern w:val="0"/>
                <w:position w:val="0"/>
                <w:sz w:val="28"/>
                <w:szCs w:val="28"/>
                <w:highlight w:val="none"/>
                <w:lang w:val="en-US" w:eastAsia="zh-CN" w:bidi="ar-SA"/>
              </w:rPr>
              <w:t>启东市自来水厂有限公司复合表箱、检查井盖2025-2026年度采购项目的潜在响应供应商应在“启东市自来水厂有限公司”网站获取采购文件，并于2025年</w:t>
            </w:r>
            <w:r>
              <w:rPr>
                <w:rFonts w:hint="eastAsia" w:cs="宋体"/>
                <w:snapToGrid w:val="0"/>
                <w:color w:val="auto"/>
                <w:spacing w:val="0"/>
                <w:kern w:val="0"/>
                <w:position w:val="0"/>
                <w:sz w:val="28"/>
                <w:szCs w:val="28"/>
                <w:highlight w:val="none"/>
                <w:lang w:val="en-US" w:eastAsia="zh-CN" w:bidi="ar-SA"/>
              </w:rPr>
              <w:t>05</w:t>
            </w:r>
            <w:r>
              <w:rPr>
                <w:rFonts w:hint="eastAsia" w:ascii="宋体" w:hAnsi="宋体" w:eastAsia="宋体" w:cs="宋体"/>
                <w:snapToGrid w:val="0"/>
                <w:color w:val="auto"/>
                <w:spacing w:val="0"/>
                <w:kern w:val="0"/>
                <w:position w:val="0"/>
                <w:sz w:val="28"/>
                <w:szCs w:val="28"/>
                <w:highlight w:val="none"/>
                <w:lang w:val="en-US" w:eastAsia="zh-CN" w:bidi="ar-SA"/>
              </w:rPr>
              <w:t>月</w:t>
            </w:r>
            <w:r>
              <w:rPr>
                <w:rFonts w:hint="eastAsia" w:cs="宋体"/>
                <w:snapToGrid w:val="0"/>
                <w:color w:val="auto"/>
                <w:spacing w:val="0"/>
                <w:kern w:val="0"/>
                <w:position w:val="0"/>
                <w:sz w:val="28"/>
                <w:szCs w:val="28"/>
                <w:highlight w:val="none"/>
                <w:lang w:val="en-US" w:eastAsia="zh-CN" w:bidi="ar-SA"/>
              </w:rPr>
              <w:t>16</w:t>
            </w:r>
            <w:r>
              <w:rPr>
                <w:rFonts w:hint="eastAsia" w:ascii="宋体" w:hAnsi="宋体" w:eastAsia="宋体" w:cs="宋体"/>
                <w:snapToGrid w:val="0"/>
                <w:color w:val="auto"/>
                <w:spacing w:val="0"/>
                <w:kern w:val="0"/>
                <w:position w:val="0"/>
                <w:sz w:val="28"/>
                <w:szCs w:val="28"/>
                <w:highlight w:val="none"/>
                <w:lang w:val="en-US" w:eastAsia="zh-CN" w:bidi="ar-SA"/>
              </w:rPr>
              <w:t>日</w:t>
            </w:r>
            <w:r>
              <w:rPr>
                <w:rFonts w:hint="eastAsia" w:cs="宋体"/>
                <w:snapToGrid w:val="0"/>
                <w:color w:val="auto"/>
                <w:spacing w:val="0"/>
                <w:kern w:val="0"/>
                <w:position w:val="0"/>
                <w:sz w:val="28"/>
                <w:szCs w:val="28"/>
                <w:highlight w:val="none"/>
                <w:lang w:val="en-US" w:eastAsia="zh-CN" w:bidi="ar-SA"/>
              </w:rPr>
              <w:t>15</w:t>
            </w:r>
            <w:r>
              <w:rPr>
                <w:rFonts w:hint="eastAsia" w:ascii="宋体" w:hAnsi="宋体" w:eastAsia="宋体" w:cs="宋体"/>
                <w:snapToGrid w:val="0"/>
                <w:color w:val="auto"/>
                <w:spacing w:val="0"/>
                <w:kern w:val="0"/>
                <w:position w:val="0"/>
                <w:sz w:val="28"/>
                <w:szCs w:val="28"/>
                <w:highlight w:val="none"/>
                <w:lang w:val="en-US" w:eastAsia="zh-CN" w:bidi="ar-SA"/>
              </w:rPr>
              <w:t>点</w:t>
            </w:r>
            <w:r>
              <w:rPr>
                <w:rFonts w:hint="eastAsia" w:cs="宋体"/>
                <w:snapToGrid w:val="0"/>
                <w:color w:val="auto"/>
                <w:spacing w:val="0"/>
                <w:kern w:val="0"/>
                <w:position w:val="0"/>
                <w:sz w:val="28"/>
                <w:szCs w:val="28"/>
                <w:highlight w:val="none"/>
                <w:lang w:val="en-US" w:eastAsia="zh-CN" w:bidi="ar-SA"/>
              </w:rPr>
              <w:t>30</w:t>
            </w:r>
            <w:r>
              <w:rPr>
                <w:rFonts w:hint="eastAsia" w:ascii="宋体" w:hAnsi="宋体" w:eastAsia="宋体" w:cs="宋体"/>
                <w:snapToGrid w:val="0"/>
                <w:color w:val="auto"/>
                <w:spacing w:val="0"/>
                <w:kern w:val="0"/>
                <w:position w:val="0"/>
                <w:sz w:val="28"/>
                <w:szCs w:val="28"/>
                <w:highlight w:val="none"/>
                <w:lang w:val="en-US" w:eastAsia="zh-CN" w:bidi="ar-SA"/>
              </w:rPr>
              <w:t>分（北京时间）前递交响应文件。</w:t>
            </w:r>
          </w:p>
        </w:tc>
      </w:tr>
    </w:tbl>
    <w:p w14:paraId="0E026274">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val="en-US" w:eastAsia="zh-CN"/>
        </w:rPr>
        <w:t>启东市自来水厂有限公司复合表箱、检查井盖2025-2026年度采购项目</w:t>
      </w:r>
    </w:p>
    <w:p w14:paraId="04F7C3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461699.55</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w:t>
      </w:r>
      <w:r>
        <w:rPr>
          <w:rFonts w:hint="eastAsia" w:ascii="宋体" w:hAnsi="宋体" w:eastAsia="宋体" w:cs="宋体"/>
          <w:color w:val="auto"/>
          <w:spacing w:val="0"/>
          <w:position w:val="0"/>
          <w:sz w:val="28"/>
          <w:szCs w:val="28"/>
          <w:highlight w:val="none"/>
          <w:lang w:val="en-US" w:eastAsia="zh-CN"/>
        </w:rPr>
        <w:t>461699.55</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r>
        <w:rPr>
          <w:rFonts w:hint="eastAsia" w:ascii="宋体" w:hAnsi="宋体" w:eastAsia="宋体" w:cs="宋体"/>
          <w:color w:val="auto"/>
          <w:sz w:val="28"/>
          <w:szCs w:val="28"/>
          <w:lang w:val="en-US" w:eastAsia="zh-CN"/>
        </w:rPr>
        <w:t>。</w:t>
      </w:r>
    </w:p>
    <w:p w14:paraId="651FC7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10CC37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（1）投标人应为在中华人民共和国境内注册的货物制造商或经销商，有能力提供本项目中所采购的货物及服务，提供有效的营业执照；</w:t>
      </w:r>
    </w:p>
    <w:p w14:paraId="3A16575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（2）未被“信用中国”、“中国政府采购网”、“信用江苏”网站列入失信被执行人、重大税收违法案件当事人名单、政府采购严重违法失信行为记录名单</w:t>
      </w:r>
      <w:r>
        <w:rPr>
          <w:rFonts w:hint="eastAsia" w:ascii="宋体" w:hAnsi="宋体" w:eastAsia="宋体" w:cs="宋体"/>
          <w:b w:val="0"/>
          <w:bCs w:val="0"/>
          <w:color w:val="auto"/>
          <w:spacing w:val="0"/>
          <w:position w:val="0"/>
          <w:sz w:val="28"/>
          <w:szCs w:val="28"/>
          <w:highlight w:val="none"/>
          <w:lang w:val="en-US" w:eastAsia="zh-CN"/>
        </w:rPr>
        <w:t>(提供网页截图)；</w:t>
      </w:r>
    </w:p>
    <w:p w14:paraId="5CC487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（3）投标人需具有质量管理体系认证证书和环境管理体系认证证书（若为经销商的，则需提供投标品牌厂家的质量管理体系认证证书和环境管理体系认证证书</w:t>
      </w:r>
      <w:r>
        <w:rPr>
          <w:rFonts w:hint="eastAsia" w:ascii="宋体" w:hAnsi="宋体" w:eastAsia="宋体" w:cs="宋体"/>
          <w:b w:val="0"/>
          <w:bCs w:val="0"/>
          <w:color w:val="auto"/>
          <w:spacing w:val="0"/>
          <w:position w:val="0"/>
          <w:sz w:val="28"/>
          <w:szCs w:val="28"/>
          <w:highlight w:val="none"/>
          <w:lang w:val="en-US" w:eastAsia="zh-CN"/>
        </w:rPr>
        <w:t>原件扫描件加盖公章）</w:t>
      </w:r>
      <w:r>
        <w:rPr>
          <w:rFonts w:hint="eastAsia" w:ascii="宋体" w:hAnsi="宋体" w:eastAsia="宋体" w:cs="宋体"/>
          <w:color w:val="auto"/>
          <w:spacing w:val="0"/>
          <w:position w:val="0"/>
          <w:sz w:val="28"/>
          <w:szCs w:val="28"/>
          <w:highlight w:val="none"/>
          <w:lang w:val="en-US" w:eastAsia="zh-CN"/>
        </w:rPr>
        <w:t>，证书须在有效期内并覆盖本招标产品；</w:t>
      </w:r>
    </w:p>
    <w:p w14:paraId="622A69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（4）投标人提供的投标货物具有有效的省级及以上质量检测中心出具的性能检验报告</w:t>
      </w:r>
      <w:r>
        <w:rPr>
          <w:rFonts w:hint="eastAsia" w:ascii="宋体" w:hAnsi="宋体" w:eastAsia="宋体" w:cs="宋体"/>
          <w:b w:val="0"/>
          <w:bCs w:val="0"/>
          <w:color w:val="auto"/>
          <w:spacing w:val="0"/>
          <w:position w:val="0"/>
          <w:sz w:val="28"/>
          <w:szCs w:val="28"/>
          <w:highlight w:val="none"/>
          <w:lang w:val="en-US" w:eastAsia="zh-CN"/>
        </w:rPr>
        <w:t>原件扫描件加盖公章；</w:t>
      </w:r>
    </w:p>
    <w:p w14:paraId="353A0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b w:val="0"/>
          <w:bCs w:val="0"/>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val="en-US" w:eastAsia="zh-CN"/>
        </w:rPr>
        <w:t>（5）供应商有自2023年1月1日以来（以合同签订时间为准）有类似的供货业绩</w:t>
      </w:r>
      <w:r>
        <w:rPr>
          <w:rFonts w:hint="eastAsia" w:ascii="宋体" w:hAnsi="宋体" w:eastAsia="宋体" w:cs="宋体"/>
          <w:b w:val="0"/>
          <w:bCs w:val="0"/>
          <w:color w:val="auto"/>
          <w:spacing w:val="0"/>
          <w:position w:val="0"/>
          <w:sz w:val="28"/>
          <w:szCs w:val="28"/>
          <w:highlight w:val="none"/>
          <w:lang w:val="en-US" w:eastAsia="zh-CN"/>
        </w:rPr>
        <w:t>（提供相对应的合同及公告发布之日前有效发票原件扫描件加盖公章）。</w:t>
      </w:r>
    </w:p>
    <w:p w14:paraId="0F121D4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4、本项目招标不接受联合体投标。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05</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16</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15</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w:t>
      </w:r>
    </w:p>
    <w:p w14:paraId="2CC7ED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四、响应文件提交</w:t>
      </w:r>
    </w:p>
    <w:p w14:paraId="7A9CB1A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本项目为不见面开标，各供应商须在规定时间内将投标文件于2025年</w:t>
      </w:r>
      <w:r>
        <w:rPr>
          <w:rFonts w:hint="eastAsia" w:ascii="宋体" w:hAnsi="宋体" w:eastAsia="宋体" w:cs="宋体"/>
          <w:color w:val="auto"/>
          <w:spacing w:val="0"/>
          <w:position w:val="0"/>
          <w:sz w:val="28"/>
          <w:szCs w:val="28"/>
          <w:highlight w:val="none"/>
          <w:lang w:val="en-US" w:eastAsia="zh-CN"/>
        </w:rPr>
        <w:t>05</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lang w:val="en-US" w:eastAsia="zh-CN"/>
        </w:rPr>
        <w:t>16</w:t>
      </w:r>
      <w:r>
        <w:rPr>
          <w:rFonts w:hint="eastAsia" w:ascii="宋体" w:hAnsi="宋体" w:eastAsia="宋体" w:cs="宋体"/>
          <w:color w:val="auto"/>
          <w:spacing w:val="0"/>
          <w:position w:val="0"/>
          <w:sz w:val="28"/>
          <w:szCs w:val="28"/>
          <w:highlight w:val="none"/>
        </w:rPr>
        <w:t>日</w:t>
      </w:r>
      <w:r>
        <w:rPr>
          <w:rFonts w:hint="eastAsia" w:ascii="宋体" w:hAnsi="宋体" w:eastAsia="宋体" w:cs="宋体"/>
          <w:color w:val="auto"/>
          <w:spacing w:val="0"/>
          <w:position w:val="0"/>
          <w:sz w:val="28"/>
          <w:szCs w:val="28"/>
          <w:highlight w:val="none"/>
          <w:lang w:val="en-US" w:eastAsia="zh-CN"/>
        </w:rPr>
        <w:t>15</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分前密封送至启东市汇龙镇金沙江路672号启东城投集团有限公司二楼开标室（可邮寄），逾时则不予受理。</w:t>
      </w:r>
    </w:p>
    <w:p w14:paraId="3A1527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如邮寄方式的，请统一采用顺丰快递方式提交（不得采用到付方式），接收地点（招标代理机构）：江苏天宏华信工程投资管理咨询有限公司会议室（启东市南苑西路1168号国动产业园2号楼402室），接收联系人：</w:t>
      </w:r>
      <w:r>
        <w:rPr>
          <w:rFonts w:hint="eastAsia" w:ascii="宋体" w:hAnsi="宋体" w:eastAsia="宋体" w:cs="宋体"/>
          <w:color w:val="auto"/>
          <w:spacing w:val="0"/>
          <w:position w:val="0"/>
          <w:sz w:val="28"/>
          <w:szCs w:val="28"/>
          <w:highlight w:val="none"/>
          <w:lang w:val="en-US" w:eastAsia="zh-CN"/>
        </w:rPr>
        <w:t>杨女士</w:t>
      </w:r>
      <w:r>
        <w:rPr>
          <w:rFonts w:hint="eastAsia" w:ascii="宋体" w:hAnsi="宋体" w:eastAsia="宋体" w:cs="宋体"/>
          <w:color w:val="auto"/>
          <w:spacing w:val="0"/>
          <w:position w:val="0"/>
          <w:sz w:val="28"/>
          <w:szCs w:val="28"/>
          <w:highlight w:val="none"/>
        </w:rPr>
        <w:t>，联系电话：</w:t>
      </w:r>
      <w:r>
        <w:rPr>
          <w:rFonts w:hint="eastAsia" w:ascii="宋体" w:hAnsi="宋体" w:eastAsia="宋体" w:cs="宋体"/>
          <w:color w:val="auto"/>
          <w:spacing w:val="0"/>
          <w:position w:val="0"/>
          <w:sz w:val="28"/>
          <w:szCs w:val="28"/>
          <w:highlight w:val="none"/>
          <w:lang w:val="en-US" w:eastAsia="zh-CN"/>
        </w:rPr>
        <w:t>18252783879</w:t>
      </w:r>
      <w:r>
        <w:rPr>
          <w:rFonts w:hint="eastAsia" w:ascii="宋体" w:hAnsi="宋体" w:eastAsia="宋体" w:cs="宋体"/>
          <w:color w:val="auto"/>
          <w:spacing w:val="0"/>
          <w:position w:val="0"/>
          <w:sz w:val="28"/>
          <w:szCs w:val="28"/>
          <w:highlight w:val="none"/>
        </w:rPr>
        <w:t>。请投标人充分考虑天气、快递速度、路程等因素，未在规定时间内送达的投标响应文件将不予接收，后果由潜在投标人自行承担；邮寄快递送达时间以送达签收时间为准。</w:t>
      </w:r>
    </w:p>
    <w:p w14:paraId="779C9A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开标时间：</w:t>
      </w:r>
      <w:r>
        <w:rPr>
          <w:rFonts w:hint="eastAsia" w:ascii="宋体" w:hAnsi="宋体" w:eastAsia="宋体" w:cs="宋体"/>
          <w:color w:val="auto"/>
          <w:spacing w:val="0"/>
          <w:position w:val="0"/>
          <w:sz w:val="28"/>
          <w:szCs w:val="28"/>
          <w:highlight w:val="none"/>
          <w:lang w:val="en-US" w:eastAsia="zh-CN"/>
        </w:rPr>
        <w:t>2025年05</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lang w:val="en-US" w:eastAsia="zh-CN"/>
        </w:rPr>
        <w:t>16</w:t>
      </w:r>
      <w:r>
        <w:rPr>
          <w:rFonts w:hint="eastAsia" w:ascii="宋体" w:hAnsi="宋体" w:eastAsia="宋体" w:cs="宋体"/>
          <w:color w:val="auto"/>
          <w:spacing w:val="0"/>
          <w:position w:val="0"/>
          <w:sz w:val="28"/>
          <w:szCs w:val="28"/>
          <w:highlight w:val="none"/>
        </w:rPr>
        <w:t>日</w:t>
      </w:r>
      <w:r>
        <w:rPr>
          <w:rFonts w:hint="eastAsia" w:ascii="宋体" w:hAnsi="宋体" w:eastAsia="宋体" w:cs="宋体"/>
          <w:color w:val="auto"/>
          <w:spacing w:val="0"/>
          <w:position w:val="0"/>
          <w:sz w:val="28"/>
          <w:szCs w:val="28"/>
          <w:highlight w:val="none"/>
          <w:lang w:val="en-US" w:eastAsia="zh-CN"/>
        </w:rPr>
        <w:t>15</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分（北京时间）</w:t>
      </w:r>
    </w:p>
    <w:p w14:paraId="1F883A0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开标地点：启东市汇龙镇金沙江路672号启东城投集团有限公司二楼开标室。</w:t>
      </w:r>
    </w:p>
    <w:p w14:paraId="2CB243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请各投标人于本项目开标时间（即202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lang w:val="en-US" w:eastAsia="zh-CN"/>
        </w:rPr>
        <w:t>05</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lang w:val="en-US" w:eastAsia="zh-CN"/>
        </w:rPr>
        <w:t>16</w:t>
      </w:r>
      <w:r>
        <w:rPr>
          <w:rFonts w:hint="eastAsia" w:ascii="宋体" w:hAnsi="宋体" w:eastAsia="宋体" w:cs="宋体"/>
          <w:color w:val="auto"/>
          <w:spacing w:val="0"/>
          <w:position w:val="0"/>
          <w:sz w:val="28"/>
          <w:szCs w:val="28"/>
          <w:highlight w:val="none"/>
        </w:rPr>
        <w:t>日</w:t>
      </w:r>
      <w:r>
        <w:rPr>
          <w:rFonts w:hint="eastAsia" w:ascii="宋体" w:hAnsi="宋体" w:eastAsia="宋体" w:cs="宋体"/>
          <w:color w:val="auto"/>
          <w:spacing w:val="0"/>
          <w:position w:val="0"/>
          <w:sz w:val="28"/>
          <w:szCs w:val="28"/>
          <w:highlight w:val="none"/>
          <w:lang w:val="en-US" w:eastAsia="zh-CN"/>
        </w:rPr>
        <w:t>15</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）法人或委派授权代表准时进入本项目腾讯会议（会议号为：</w:t>
      </w:r>
      <w:r>
        <w:rPr>
          <w:rFonts w:hint="eastAsia" w:ascii="宋体" w:hAnsi="宋体" w:eastAsia="宋体" w:cs="宋体"/>
          <w:color w:val="auto"/>
          <w:spacing w:val="0"/>
          <w:position w:val="0"/>
          <w:sz w:val="28"/>
          <w:szCs w:val="28"/>
          <w:highlight w:val="none"/>
          <w:lang w:val="en-US" w:eastAsia="zh-CN"/>
        </w:rPr>
        <w:t>910-525-227</w:t>
      </w:r>
      <w:r>
        <w:rPr>
          <w:rFonts w:hint="eastAsia" w:ascii="宋体" w:hAnsi="宋体" w:eastAsia="宋体" w:cs="宋体"/>
          <w:color w:val="auto"/>
          <w:spacing w:val="0"/>
          <w:position w:val="0"/>
          <w:sz w:val="28"/>
          <w:szCs w:val="28"/>
          <w:highlight w:val="none"/>
        </w:rPr>
        <w:t>，会议名称为项目名称：</w:t>
      </w:r>
      <w:r>
        <w:rPr>
          <w:rFonts w:hint="eastAsia" w:ascii="宋体" w:hAnsi="宋体" w:eastAsia="宋体" w:cs="宋体"/>
          <w:color w:val="auto"/>
          <w:spacing w:val="0"/>
          <w:position w:val="0"/>
          <w:sz w:val="28"/>
          <w:szCs w:val="28"/>
          <w:highlight w:val="none"/>
          <w:lang w:val="en-US" w:eastAsia="zh-CN"/>
        </w:rPr>
        <w:t>启东市自来水厂有限公司复合表箱、检查井盖2025-2026年度采购项目</w:t>
      </w:r>
      <w:r>
        <w:rPr>
          <w:rFonts w:hint="eastAsia" w:ascii="宋体" w:hAnsi="宋体" w:eastAsia="宋体" w:cs="宋体"/>
          <w:color w:val="auto"/>
          <w:spacing w:val="0"/>
          <w:position w:val="0"/>
          <w:sz w:val="28"/>
          <w:szCs w:val="28"/>
          <w:highlight w:val="none"/>
        </w:rPr>
        <w:t>开标会；进入会议室时请将姓名改为投标单位名称）。</w:t>
      </w:r>
    </w:p>
    <w:p w14:paraId="0874C3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自本公告发布之日起3个工作日。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auto"/>
          <w:spacing w:val="0"/>
          <w:position w:val="0"/>
          <w:sz w:val="28"/>
          <w:szCs w:val="28"/>
          <w:highlight w:val="none"/>
          <w:lang w:eastAsia="zh-CN"/>
        </w:rPr>
        <w:t>不见面开标</w:t>
      </w:r>
      <w:r>
        <w:rPr>
          <w:rFonts w:hint="eastAsia" w:ascii="宋体" w:hAnsi="宋体" w:eastAsia="宋体" w:cs="宋体"/>
          <w:color w:val="auto"/>
          <w:spacing w:val="0"/>
          <w:position w:val="0"/>
          <w:sz w:val="28"/>
          <w:szCs w:val="28"/>
          <w:highlight w:val="none"/>
        </w:rPr>
        <w:t>模式。</w:t>
      </w:r>
      <w:bookmarkStart w:id="2" w:name="_GoBack"/>
      <w:bookmarkEnd w:id="2"/>
    </w:p>
    <w:p w14:paraId="33C236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黄林昀</w:t>
      </w:r>
    </w:p>
    <w:p w14:paraId="2F8476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代理单位：江苏天宏华信工程投资管理咨询有限公司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址：启东市南苑西路1168号国动产业园2号楼402室</w:t>
      </w:r>
    </w:p>
    <w:p w14:paraId="214C5FA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杨玉秀</w:t>
      </w:r>
    </w:p>
    <w:p w14:paraId="5CB00A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联系电话：0513-83248588</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416" w:bottom="1152" w:left="1595"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 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 xml:space="preserve">本采购文件仅适用于本次询价采购，项目需求部分（供应商资格要求、 </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7.1</w:t>
      </w:r>
      <w:r>
        <w:rPr>
          <w:rFonts w:hint="eastAsia" w:ascii="宋体" w:hAnsi="宋体" w:eastAsia="宋体" w:cs="宋体"/>
          <w:color w:val="auto"/>
          <w:spacing w:val="0"/>
          <w:sz w:val="28"/>
          <w:szCs w:val="28"/>
          <w:highlight w:val="none"/>
          <w:lang w:val="en-US" w:eastAsia="zh-CN"/>
        </w:rPr>
        <w:t xml:space="preserve"> </w:t>
      </w:r>
      <w:r>
        <w:rPr>
          <w:rFonts w:ascii="宋体" w:hAnsi="宋体" w:eastAsia="宋体" w:cs="宋体"/>
          <w:color w:val="auto"/>
          <w:spacing w:val="0"/>
          <w:sz w:val="28"/>
          <w:szCs w:val="28"/>
          <w:highlight w:val="none"/>
        </w:rPr>
        <w:t>询价为一次性报价，响应供应商应一次性报出不得更改的价格</w:t>
      </w:r>
      <w:r>
        <w:rPr>
          <w:rFonts w:hint="eastAsia" w:ascii="宋体" w:hAnsi="宋体" w:eastAsia="宋体" w:cs="宋体"/>
          <w:color w:val="auto"/>
          <w:spacing w:val="0"/>
          <w:sz w:val="28"/>
          <w:szCs w:val="28"/>
          <w:highlight w:val="none"/>
          <w:lang w:eastAsia="zh-CN"/>
        </w:rPr>
        <w:t>。</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 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 采购文件的修改将在</w:t>
      </w:r>
      <w:r>
        <w:rPr>
          <w:rFonts w:hint="eastAsia" w:ascii="宋体" w:hAnsi="宋体" w:eastAsia="宋体" w:cs="宋体"/>
          <w:color w:val="auto"/>
          <w:sz w:val="28"/>
          <w:szCs w:val="28"/>
          <w:highlight w:val="none"/>
          <w:lang w:val="en-US" w:eastAsia="zh-CN"/>
        </w:rPr>
        <w:t>“启东市自来水厂有限公司”</w:t>
      </w:r>
      <w:r>
        <w:rPr>
          <w:rFonts w:hint="eastAsia" w:ascii="宋体" w:hAnsi="宋体" w:eastAsia="宋体" w:cs="宋体"/>
          <w:color w:val="auto"/>
          <w:spacing w:val="0"/>
          <w:position w:val="0"/>
          <w:sz w:val="28"/>
          <w:szCs w:val="28"/>
          <w:highlight w:val="none"/>
          <w:lang w:val="en-US" w:eastAsia="zh-CN"/>
        </w:rPr>
        <w:t>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响应文件必须提供1份正本2份副本。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0000FF"/>
          <w:spacing w:val="0"/>
          <w:sz w:val="28"/>
          <w:szCs w:val="28"/>
          <w:highlight w:val="none"/>
        </w:rPr>
      </w:pPr>
      <w:r>
        <w:rPr>
          <w:rFonts w:ascii="宋体" w:hAnsi="宋体" w:eastAsia="宋体" w:cs="宋体"/>
          <w:color w:val="auto"/>
          <w:spacing w:val="0"/>
          <w:sz w:val="28"/>
          <w:szCs w:val="28"/>
          <w:highlight w:val="none"/>
        </w:rPr>
        <w:t>3.2 响应文件</w:t>
      </w:r>
      <w:r>
        <w:rPr>
          <w:rFonts w:hint="eastAsia" w:ascii="宋体" w:hAnsi="宋体" w:eastAsia="宋体" w:cs="宋体"/>
          <w:color w:val="auto"/>
          <w:sz w:val="28"/>
          <w:szCs w:val="28"/>
          <w:highlight w:val="none"/>
        </w:rPr>
        <w:t>统一采用顺丰快递方式提交（不得采用到付方式）</w:t>
      </w:r>
      <w:r>
        <w:rPr>
          <w:rFonts w:ascii="宋体" w:hAnsi="宋体" w:eastAsia="宋体" w:cs="宋体"/>
          <w:color w:val="0000FF"/>
          <w:spacing w:val="0"/>
          <w:sz w:val="28"/>
          <w:szCs w:val="28"/>
          <w:highlight w:val="none"/>
        </w:rPr>
        <w:t>。</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 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3B73E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供应商的响应文件分二包密封，一包资格审查证明材料文件、一包价格标(每包内含相应文件正副本);投标人必须将资格审查证明材料文件</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 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 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 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响应文件和响应供应商法定代表人或其授权委托人签署的文件、资料的有效期为自开标之日起60个日历日。响应有效期比规定短的将被视为非响应性响应而予以拒绝。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 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 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响应文件初审分为资格性检查和符合性检查。</w:t>
      </w:r>
    </w:p>
    <w:p w14:paraId="6A86A8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 的资格证明文件等进行审查，以确定供应商是否具备参加询价的资格。</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19" w:bottom="1153" w:left="1596" w:header="0" w:footer="988" w:gutter="0"/>
          <w:pgNumType w:fmt="decimal"/>
          <w:cols w:space="720" w:num="1"/>
        </w:sectPr>
      </w:pP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  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w:t>
      </w:r>
      <w:r>
        <w:rPr>
          <w:rFonts w:hint="eastAsia" w:ascii="宋体" w:hAnsi="宋体" w:eastAsia="宋体" w:cs="宋体"/>
          <w:color w:val="auto"/>
          <w:spacing w:val="-6"/>
          <w:sz w:val="28"/>
          <w:szCs w:val="28"/>
          <w:highlight w:val="none"/>
          <w:lang w:eastAsia="zh-CN"/>
        </w:rPr>
        <w:t>报价</w:t>
      </w:r>
      <w:r>
        <w:rPr>
          <w:rFonts w:ascii="宋体" w:hAnsi="宋体" w:eastAsia="宋体" w:cs="宋体"/>
          <w:color w:val="auto"/>
          <w:spacing w:val="-6"/>
          <w:sz w:val="28"/>
          <w:szCs w:val="28"/>
          <w:highlight w:val="none"/>
        </w:rPr>
        <w:t>表内容与响应文件中相应内容不一致的，以</w:t>
      </w:r>
      <w:r>
        <w:rPr>
          <w:rFonts w:hint="eastAsia" w:ascii="宋体" w:hAnsi="宋体" w:eastAsia="宋体" w:cs="宋体"/>
          <w:color w:val="auto"/>
          <w:spacing w:val="-6"/>
          <w:sz w:val="28"/>
          <w:szCs w:val="28"/>
          <w:highlight w:val="none"/>
          <w:lang w:eastAsia="zh-CN"/>
        </w:rPr>
        <w:t>报价</w:t>
      </w:r>
      <w:r>
        <w:rPr>
          <w:rFonts w:ascii="宋体" w:hAnsi="宋体" w:eastAsia="宋体" w:cs="宋体"/>
          <w:color w:val="auto"/>
          <w:spacing w:val="-6"/>
          <w:sz w:val="28"/>
          <w:szCs w:val="28"/>
          <w:highlight w:val="none"/>
        </w:rPr>
        <w:t>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 询价小组将按上述修正错误的方法调整响应文件中的响应报价， 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 本采购项目为一个完整标的，询价小组不接受不完整的响应报 价。响应供应商或其授权委托人必须对所有项目分别报单价，并合计总 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 询价小组允许修正响应文件中不构成重大偏离的、微小的、非正 规的、不一致的或不规则的地方，但这些修改不能影响任何响应供应商相 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 提供同一品牌同一型号产品的不同响应供应商参加同一合同项下 响应的，以其中通过资格性审查、符合性审查且报价最低的参加评审；报 价相同的，由询价小组按照采购文件规定的方式（采购文件未规定的通过 随机抽取的方式）确定一个参加评审的响应供应商，其他供应商作为无效 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 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 “信用中国”网站列入失信被执行人或重大税收违法案件当事人名单或政府采购严重失信行为记录名单。或查询“信用中国”网站后发现响应供应商存在其他不符合《中华人民共和国政府采购法》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10"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w:t>
      </w:r>
      <w:r>
        <w:rPr>
          <w:rFonts w:ascii="宋体" w:hAnsi="宋体" w:eastAsia="宋体" w:cs="宋体"/>
          <w:color w:val="auto"/>
          <w:spacing w:val="0"/>
          <w:sz w:val="28"/>
          <w:szCs w:val="28"/>
          <w:highlight w:val="none"/>
        </w:rPr>
        <w:t>确定成交单位</w:t>
      </w:r>
    </w:p>
    <w:p w14:paraId="5C85F10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1.1</w:t>
      </w:r>
      <w:r>
        <w:rPr>
          <w:rFonts w:asciiTheme="minorEastAsia" w:hAnsiTheme="minorEastAsia" w:eastAsiaTheme="minorEastAsia"/>
          <w:color w:val="auto"/>
          <w:sz w:val="28"/>
          <w:szCs w:val="28"/>
        </w:rPr>
        <w:t>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rPr>
        <w:t>若报价相同时则通过抽签方式随机确定排名顺序，</w:t>
      </w:r>
      <w:r>
        <w:rPr>
          <w:rFonts w:asciiTheme="minorEastAsia" w:hAnsiTheme="minorEastAsia" w:eastAsiaTheme="minorEastAsia"/>
          <w:color w:val="auto"/>
          <w:sz w:val="28"/>
          <w:szCs w:val="28"/>
        </w:rPr>
        <w:t>并编写评审报告。</w:t>
      </w:r>
    </w:p>
    <w:p w14:paraId="18E82F2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采购人</w:t>
      </w:r>
      <w:r>
        <w:rPr>
          <w:rFonts w:hint="eastAsia" w:asciiTheme="minorEastAsia" w:hAnsiTheme="minorEastAsia" w:eastAsiaTheme="minorEastAsia"/>
          <w:color w:val="auto"/>
          <w:sz w:val="28"/>
          <w:szCs w:val="28"/>
        </w:rPr>
        <w:t>应按照询价</w:t>
      </w:r>
      <w:r>
        <w:rPr>
          <w:rFonts w:asciiTheme="minorEastAsia" w:hAnsiTheme="minorEastAsia" w:eastAsiaTheme="minorEastAsia"/>
          <w:color w:val="auto"/>
          <w:sz w:val="28"/>
          <w:szCs w:val="28"/>
        </w:rPr>
        <w:t>小组推荐的成交候选</w:t>
      </w:r>
      <w:r>
        <w:rPr>
          <w:rFonts w:hint="eastAsia" w:asciiTheme="minorEastAsia" w:hAnsiTheme="minorEastAsia" w:eastAsiaTheme="minorEastAsia"/>
          <w:color w:val="auto"/>
          <w:sz w:val="28"/>
          <w:szCs w:val="28"/>
        </w:rPr>
        <w:t>供应商确定</w:t>
      </w:r>
      <w:r>
        <w:rPr>
          <w:rFonts w:asciiTheme="minorEastAsia" w:hAnsiTheme="minorEastAsia" w:eastAsiaTheme="minorEastAsia"/>
          <w:color w:val="auto"/>
          <w:sz w:val="28"/>
          <w:szCs w:val="28"/>
        </w:rPr>
        <w:t>成交供应商。</w:t>
      </w:r>
    </w:p>
    <w:p w14:paraId="0FC2590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2</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2.3 质疑函必须按照本采购文件中《质疑函范本》（附件 </w:t>
      </w:r>
      <w:r>
        <w:rPr>
          <w:rFonts w:hint="eastAsia" w:ascii="宋体" w:hAnsi="宋体" w:eastAsia="宋体" w:cs="宋体"/>
          <w:color w:val="auto"/>
          <w:spacing w:val="0"/>
          <w:sz w:val="28"/>
          <w:szCs w:val="28"/>
          <w:highlight w:val="none"/>
          <w:lang w:val="en-US" w:eastAsia="zh-CN"/>
        </w:rPr>
        <w:t>7</w:t>
      </w:r>
      <w:r>
        <w:rPr>
          <w:rFonts w:ascii="宋体" w:hAnsi="宋体" w:eastAsia="宋体" w:cs="宋体"/>
          <w:color w:val="auto"/>
          <w:spacing w:val="0"/>
          <w:sz w:val="28"/>
          <w:szCs w:val="28"/>
          <w:highlight w:val="none"/>
        </w:rPr>
        <w:t>）要求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 不得捏造事实、提供虚假 材料进行恶意质疑。否则， 一经查实，采购人及采购代理有权依据政府采 购的有关规定，报请政府采购监管部门对该供应商进行相应的行政处罚和 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 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6FBE81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 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1" w:type="default"/>
          <w:pgSz w:w="11907" w:h="16839"/>
          <w:pgMar w:top="1431" w:right="1419" w:bottom="1153"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供应商不良信用库的单位不得参与</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及下属子公司任何项目投标。</w:t>
      </w:r>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spacing w:before="166" w:line="219" w:lineRule="auto"/>
        <w:ind w:left="567"/>
        <w:outlineLvl w:val="3"/>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一、采购货物清单：</w:t>
      </w:r>
    </w:p>
    <w:p w14:paraId="079E9E86">
      <w:pPr>
        <w:spacing w:line="73" w:lineRule="auto"/>
        <w:rPr>
          <w:rFonts w:ascii="Arial"/>
          <w:color w:val="auto"/>
          <w:sz w:val="2"/>
          <w:highlight w:val="none"/>
        </w:rPr>
      </w:pPr>
    </w:p>
    <w:tbl>
      <w:tblPr>
        <w:tblStyle w:val="7"/>
        <w:tblW w:w="89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2228"/>
        <w:gridCol w:w="1720"/>
        <w:gridCol w:w="760"/>
        <w:gridCol w:w="799"/>
        <w:gridCol w:w="1387"/>
        <w:gridCol w:w="1600"/>
      </w:tblGrid>
      <w:tr w14:paraId="06F9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4AB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8895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材料名称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B47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E78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AD8A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预估</w:t>
            </w:r>
          </w:p>
          <w:p w14:paraId="049B6E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CB57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分项综合</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单价限价（元）</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94BE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初定总价限价（元）</w:t>
            </w:r>
          </w:p>
        </w:tc>
      </w:tr>
      <w:tr w14:paraId="475A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E43C">
            <w:pPr>
              <w:jc w:val="center"/>
              <w:rPr>
                <w:rFonts w:hint="eastAsia" w:ascii="仿宋" w:hAnsi="仿宋" w:eastAsia="仿宋" w:cs="仿宋"/>
                <w:i w:val="0"/>
                <w:iCs w:val="0"/>
                <w:color w:val="000000"/>
                <w:sz w:val="24"/>
                <w:szCs w:val="24"/>
                <w:u w:val="none"/>
              </w:rPr>
            </w:pPr>
          </w:p>
        </w:tc>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4D8D">
            <w:pPr>
              <w:jc w:val="center"/>
              <w:rPr>
                <w:rFonts w:hint="eastAsia" w:ascii="仿宋" w:hAnsi="仿宋" w:eastAsia="仿宋" w:cs="仿宋"/>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0117">
            <w:pPr>
              <w:jc w:val="center"/>
              <w:rPr>
                <w:rFonts w:hint="eastAsia" w:ascii="仿宋" w:hAnsi="仿宋" w:eastAsia="仿宋" w:cs="仿宋"/>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B629">
            <w:pPr>
              <w:jc w:val="center"/>
              <w:rPr>
                <w:rFonts w:hint="eastAsia" w:ascii="仿宋" w:hAnsi="仿宋" w:eastAsia="仿宋" w:cs="仿宋"/>
                <w:i w:val="0"/>
                <w:iCs w:val="0"/>
                <w:color w:val="000000"/>
                <w:sz w:val="24"/>
                <w:szCs w:val="24"/>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25E7">
            <w:pPr>
              <w:jc w:val="center"/>
              <w:rPr>
                <w:rFonts w:hint="eastAsia" w:ascii="仿宋" w:hAnsi="仿宋" w:eastAsia="仿宋" w:cs="仿宋"/>
                <w:i w:val="0"/>
                <w:iCs w:val="0"/>
                <w:color w:val="000000"/>
                <w:sz w:val="24"/>
                <w:szCs w:val="24"/>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193C">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4EE80">
            <w:pPr>
              <w:jc w:val="center"/>
              <w:rPr>
                <w:rFonts w:hint="eastAsia" w:ascii="仿宋" w:hAnsi="仿宋" w:eastAsia="仿宋" w:cs="仿宋"/>
                <w:i w:val="0"/>
                <w:iCs w:val="0"/>
                <w:color w:val="000000"/>
                <w:sz w:val="24"/>
                <w:szCs w:val="24"/>
                <w:u w:val="none"/>
              </w:rPr>
            </w:pPr>
          </w:p>
        </w:tc>
      </w:tr>
      <w:tr w14:paraId="0B7C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2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4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复合表箱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500X300(3T)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9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0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2FA5C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94.28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618E5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75424.00 </w:t>
            </w:r>
          </w:p>
        </w:tc>
      </w:tr>
      <w:tr w14:paraId="57F3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92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1D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复合表箱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5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500X300(10T)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05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C4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25BBE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130.76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2A912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1961.40 </w:t>
            </w:r>
          </w:p>
        </w:tc>
      </w:tr>
      <w:tr w14:paraId="2E87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0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B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复合表箱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D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600X400(5T)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8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1B463D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175.20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1DE37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17520.00 </w:t>
            </w:r>
          </w:p>
        </w:tc>
      </w:tr>
      <w:tr w14:paraId="0625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B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A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复合表箱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E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600X500(5T)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B09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5B148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201.54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44C87F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3023.10 </w:t>
            </w:r>
          </w:p>
        </w:tc>
      </w:tr>
      <w:tr w14:paraId="0F73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复合表箱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E7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800X520(6T)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5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F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5B2DF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266.60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40A44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106640.00 </w:t>
            </w:r>
          </w:p>
        </w:tc>
      </w:tr>
      <w:tr w14:paraId="3DC9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2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2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复合表箱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0D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1000X500(8T)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0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4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7D157A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402.32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7AA74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6034.80 </w:t>
            </w:r>
          </w:p>
        </w:tc>
      </w:tr>
      <w:tr w14:paraId="46CA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9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0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复合表箱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83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800X520(10T)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EE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495F5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310.33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387324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31033.00 </w:t>
            </w:r>
          </w:p>
        </w:tc>
      </w:tr>
      <w:tr w14:paraId="2AD8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F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6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检查井盖</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B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D500(20T)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FD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2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67F2B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201.85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0BB4B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60555.00 </w:t>
            </w:r>
          </w:p>
        </w:tc>
      </w:tr>
      <w:tr w14:paraId="1EBB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D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检查井盖</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1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D600(20T)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4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0CF70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297.88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08E7F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29788.00 </w:t>
            </w:r>
          </w:p>
        </w:tc>
      </w:tr>
      <w:tr w14:paraId="16FD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A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F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检查井盖</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8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D700(20T)</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E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387" w:type="dxa"/>
            <w:tcBorders>
              <w:top w:val="nil"/>
              <w:left w:val="single" w:color="000000" w:sz="4" w:space="0"/>
              <w:bottom w:val="single" w:color="000000" w:sz="4" w:space="0"/>
              <w:right w:val="single" w:color="000000" w:sz="4" w:space="0"/>
            </w:tcBorders>
            <w:shd w:val="clear" w:color="auto" w:fill="auto"/>
            <w:vAlign w:val="center"/>
          </w:tcPr>
          <w:p w14:paraId="16116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398.91 </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34B58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119673.00 </w:t>
            </w:r>
          </w:p>
        </w:tc>
      </w:tr>
      <w:tr w14:paraId="0B16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5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0F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水表箱盖（单盖）</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7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500X300(10T)</w:t>
            </w:r>
          </w:p>
        </w:tc>
        <w:tc>
          <w:tcPr>
            <w:tcW w:w="76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80B1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99" w:type="dxa"/>
            <w:tcBorders>
              <w:top w:val="single" w:color="000000" w:sz="4" w:space="0"/>
              <w:left w:val="single" w:color="000000" w:sz="4" w:space="0"/>
              <w:bottom w:val="single" w:color="auto" w:sz="4" w:space="0"/>
              <w:right w:val="single" w:color="000000" w:sz="4" w:space="0"/>
            </w:tcBorders>
            <w:shd w:val="clear" w:color="auto" w:fill="auto"/>
            <w:vAlign w:val="center"/>
          </w:tcPr>
          <w:p w14:paraId="70FFD2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387" w:type="dxa"/>
            <w:tcBorders>
              <w:top w:val="nil"/>
              <w:left w:val="single" w:color="000000" w:sz="4" w:space="0"/>
              <w:bottom w:val="single" w:color="auto" w:sz="4" w:space="0"/>
              <w:right w:val="single" w:color="000000" w:sz="4" w:space="0"/>
            </w:tcBorders>
            <w:shd w:val="clear" w:color="auto" w:fill="auto"/>
            <w:vAlign w:val="center"/>
          </w:tcPr>
          <w:p w14:paraId="329E1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84.10 </w:t>
            </w:r>
          </w:p>
        </w:tc>
        <w:tc>
          <w:tcPr>
            <w:tcW w:w="1600" w:type="dxa"/>
            <w:tcBorders>
              <w:top w:val="nil"/>
              <w:left w:val="single" w:color="000000" w:sz="4" w:space="0"/>
              <w:bottom w:val="single" w:color="auto" w:sz="4" w:space="0"/>
              <w:right w:val="single" w:color="000000" w:sz="4" w:space="0"/>
            </w:tcBorders>
            <w:shd w:val="clear" w:color="auto" w:fill="auto"/>
            <w:vAlign w:val="center"/>
          </w:tcPr>
          <w:p w14:paraId="58E66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8410.00 </w:t>
            </w:r>
          </w:p>
        </w:tc>
      </w:tr>
      <w:tr w14:paraId="580F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F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水表箱盖（单盖）</w:t>
            </w:r>
          </w:p>
        </w:tc>
        <w:tc>
          <w:tcPr>
            <w:tcW w:w="172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644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590X390(3T)</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14:paraId="246EB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FB6F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B6A1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109.15 </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5C650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1637.25 </w:t>
            </w:r>
          </w:p>
        </w:tc>
      </w:tr>
      <w:tr w14:paraId="2007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98"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1E3A283A">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总价最高限价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5E4B1AC8">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461699.55</w:t>
            </w:r>
          </w:p>
        </w:tc>
      </w:tr>
    </w:tbl>
    <w:p w14:paraId="73C894A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宋体" w:hAnsi="宋体" w:eastAsia="宋体" w:cs="宋体"/>
          <w:b w:val="0"/>
          <w:bCs w:val="0"/>
          <w:color w:val="auto"/>
          <w:spacing w:val="-5"/>
          <w:sz w:val="28"/>
          <w:szCs w:val="28"/>
          <w:highlight w:val="none"/>
          <w:lang w:val="en-US" w:eastAsia="zh-CN"/>
        </w:rPr>
      </w:pPr>
      <w:r>
        <w:rPr>
          <w:rFonts w:hint="eastAsia" w:ascii="宋体" w:hAnsi="宋体" w:eastAsia="宋体" w:cs="宋体"/>
          <w:b w:val="0"/>
          <w:bCs w:val="0"/>
          <w:color w:val="auto"/>
          <w:spacing w:val="-5"/>
          <w:sz w:val="28"/>
          <w:szCs w:val="28"/>
          <w:highlight w:val="none"/>
          <w:lang w:val="en-US" w:eastAsia="zh-CN"/>
        </w:rPr>
        <w:t>注：1.本项目核心产品：检查井盖D700(20T)。</w:t>
      </w:r>
    </w:p>
    <w:p w14:paraId="3D31E9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宋体" w:hAnsi="宋体" w:eastAsia="宋体" w:cs="宋体"/>
          <w:b w:val="0"/>
          <w:bCs w:val="0"/>
          <w:color w:val="auto"/>
          <w:spacing w:val="-5"/>
          <w:sz w:val="28"/>
          <w:szCs w:val="28"/>
          <w:highlight w:val="none"/>
          <w:lang w:val="en-US" w:eastAsia="zh-CN"/>
        </w:rPr>
      </w:pPr>
      <w:r>
        <w:rPr>
          <w:rFonts w:hint="eastAsia" w:ascii="宋体" w:hAnsi="宋体" w:eastAsia="宋体" w:cs="宋体"/>
          <w:b w:val="0"/>
          <w:bCs w:val="0"/>
          <w:color w:val="auto"/>
          <w:spacing w:val="-5"/>
          <w:sz w:val="28"/>
          <w:szCs w:val="28"/>
          <w:highlight w:val="none"/>
          <w:lang w:val="en-US" w:eastAsia="zh-CN"/>
        </w:rPr>
        <w:t>2.本次采购项目使用的参考品牌：CA畅安（泰兴）、浙江伟晟（杭州）、金盟牌（浙江杭州）、飞龙盖安牌(安徽）、永能牌（浙江）；报价供应商如拟投产品不在参考品牌之列的，报价品牌技术参数不得低于参考的品牌且满足本次招标的技术标准及要求，同时报价供应商应当在2025年05月14日下午15点前向采购人提供拟投货物的技术资料及相关证明材料原件，采购人将组织进行评审，符合要求的将以补充通知的形式在相关网站予以公布，未提供或不符合要求的将被视作无效报价。</w:t>
      </w:r>
    </w:p>
    <w:p w14:paraId="15CF59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宋体" w:hAnsi="宋体" w:eastAsia="宋体" w:cs="宋体"/>
          <w:b w:val="0"/>
          <w:bCs w:val="0"/>
          <w:color w:val="auto"/>
          <w:spacing w:val="-5"/>
          <w:sz w:val="28"/>
          <w:szCs w:val="28"/>
          <w:highlight w:val="none"/>
          <w:lang w:val="en-US" w:eastAsia="zh-CN"/>
        </w:rPr>
      </w:pPr>
      <w:r>
        <w:rPr>
          <w:rFonts w:hint="eastAsia" w:ascii="宋体" w:hAnsi="宋体" w:eastAsia="宋体" w:cs="宋体"/>
          <w:b w:val="0"/>
          <w:bCs w:val="0"/>
          <w:color w:val="auto"/>
          <w:spacing w:val="-5"/>
          <w:sz w:val="28"/>
          <w:szCs w:val="28"/>
          <w:highlight w:val="none"/>
          <w:lang w:val="en-US" w:eastAsia="zh-CN"/>
        </w:rPr>
        <w:t>3.本次采购为预估数量，具体数量以采购方实际采购的数量为准，供货方式为少量多批次，报价时请充分考虑运输成本。</w:t>
      </w:r>
    </w:p>
    <w:p w14:paraId="76AC410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宋体" w:hAnsi="宋体" w:eastAsia="宋体" w:cs="宋体"/>
          <w:b w:val="0"/>
          <w:bCs w:val="0"/>
          <w:color w:val="auto"/>
          <w:spacing w:val="-5"/>
          <w:sz w:val="28"/>
          <w:szCs w:val="28"/>
          <w:highlight w:val="none"/>
          <w:lang w:val="en-US" w:eastAsia="zh-CN"/>
        </w:rPr>
      </w:pPr>
      <w:r>
        <w:rPr>
          <w:rFonts w:hint="eastAsia" w:ascii="宋体" w:hAnsi="宋体" w:eastAsia="宋体" w:cs="宋体"/>
          <w:b w:val="0"/>
          <w:bCs w:val="0"/>
          <w:color w:val="auto"/>
          <w:spacing w:val="-5"/>
          <w:sz w:val="28"/>
          <w:szCs w:val="28"/>
          <w:highlight w:val="none"/>
          <w:lang w:val="en-US" w:eastAsia="zh-CN"/>
        </w:rPr>
        <w:t>4.所有设备参数为最低要求，不允许负偏离，否则视为无效报价。</w:t>
      </w:r>
    </w:p>
    <w:p w14:paraId="29EC2C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宋体" w:hAnsi="宋体" w:eastAsia="宋体" w:cs="宋体"/>
          <w:b w:val="0"/>
          <w:bCs w:val="0"/>
          <w:color w:val="auto"/>
          <w:spacing w:val="-5"/>
          <w:sz w:val="28"/>
          <w:szCs w:val="28"/>
          <w:highlight w:val="none"/>
          <w:lang w:val="en-US" w:eastAsia="zh-CN"/>
        </w:rPr>
      </w:pPr>
      <w:r>
        <w:rPr>
          <w:rFonts w:hint="eastAsia" w:ascii="宋体" w:hAnsi="宋体" w:eastAsia="宋体" w:cs="宋体"/>
          <w:b w:val="0"/>
          <w:bCs w:val="0"/>
          <w:color w:val="auto"/>
          <w:spacing w:val="-5"/>
          <w:sz w:val="28"/>
          <w:szCs w:val="28"/>
          <w:highlight w:val="none"/>
          <w:lang w:val="en-US" w:eastAsia="zh-CN"/>
        </w:rPr>
        <w:t>5.各供应商每项的分项综合单价报价与分项综合单价限价相比的下浮率必须一致，否则，作无效标处理。</w:t>
      </w:r>
    </w:p>
    <w:p w14:paraId="3526F9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宋体" w:hAnsi="宋体" w:eastAsia="宋体" w:cs="宋体"/>
          <w:b w:val="0"/>
          <w:bCs w:val="0"/>
          <w:color w:val="auto"/>
          <w:spacing w:val="-5"/>
          <w:sz w:val="28"/>
          <w:szCs w:val="28"/>
          <w:highlight w:val="none"/>
          <w:lang w:val="en-US" w:eastAsia="zh-CN"/>
        </w:rPr>
      </w:pPr>
      <w:r>
        <w:rPr>
          <w:rFonts w:hint="eastAsia" w:ascii="宋体" w:hAnsi="宋体" w:eastAsia="宋体" w:cs="宋体"/>
          <w:b w:val="0"/>
          <w:bCs w:val="0"/>
          <w:color w:val="auto"/>
          <w:spacing w:val="-5"/>
          <w:sz w:val="28"/>
          <w:szCs w:val="28"/>
          <w:highlight w:val="none"/>
          <w:lang w:val="en-US" w:eastAsia="zh-CN"/>
        </w:rPr>
        <w:t>6.投标报价为固定单价，各供应商应充分考虑各类市场风险和政策性调整确定风险系数计入报价，合同期内不作调整。</w:t>
      </w:r>
    </w:p>
    <w:p w14:paraId="5600A64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二、技术要求</w:t>
      </w:r>
    </w:p>
    <w:p w14:paraId="37A095E9">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复合窨井、复合水表箱生产应符合复合井盖技术《检查井盖》</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（GB/T23858-2009）标准。</w:t>
      </w:r>
    </w:p>
    <w:p w14:paraId="75C620F1">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复合窨井、复合水表箱主要材质：</w:t>
      </w:r>
    </w:p>
    <w:p w14:paraId="1B0B6CAA">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BMC团状模料（不饱和树脂、短切玻璃纤维和填料[不得参有石英砂]，内配螺纹钢作为骨架）或SMC片状模料（SMC专用纱、不饱和树脂、低收缩添加剂和填料）。</w:t>
      </w:r>
    </w:p>
    <w:p w14:paraId="27A5BBD8">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主要技术参数</w:t>
      </w:r>
    </w:p>
    <w:p w14:paraId="266C125F">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规格：各档规格的复合窨井、复合水表箱。</w:t>
      </w:r>
    </w:p>
    <w:p w14:paraId="29FB2E38">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适应环境：根据不同承载力，适用于不同路面要求。窨井盖承载力20T以上的主要适用于人行道、小区机动车道及非机动车道。水表箱3T适用于绿化带、人行道，6T可适用于非机动车道。</w:t>
      </w:r>
    </w:p>
    <w:p w14:paraId="60325CE5">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适应温度：-10℃~80℃</w:t>
      </w:r>
    </w:p>
    <w:p w14:paraId="40DA3442">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主要技术要求：</w:t>
      </w:r>
    </w:p>
    <w:p w14:paraId="65E85863">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①复合窨井、复合水表箱表面应有凸起防滑花纹，凸起高度不应小于3mm，应平正，坞明显变形等缺陷；</w:t>
      </w:r>
    </w:p>
    <w:p w14:paraId="4D3E6074">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②不饱和树脂复合材料主要性能指标应达到：抗压强度大于30Mpa、抗折强度大于14Mpa、抗冲击韧性大于95kj/㎡，抗冻融性抗压强度损失率不大于13%，热老化抗压强度相对变化率（80±2℃，7d）不大于0.4%，人工老化抗折强度相对变化率不大于3%。</w:t>
      </w:r>
    </w:p>
    <w:p w14:paraId="4F95AE51">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③复合窨井承载能力应达到200KN，复合水表箱承载能力应打到30KN。</w:t>
      </w:r>
    </w:p>
    <w:p w14:paraId="555267DC">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④为增加复合窨井、复合水表箱盖板强度，BMC井盖应配置一定规格、数量的螺纹钢作加强筋。附详细钢筋用量及规格：500检查井为主筋和辅筋，主筋为14Φ螺纹钢和辅筋10Φ螺纹钢；500*300为主筋和辅筋，主筋和辅筋均为10Φ；700检查井为主筋和辅筋，主筋是18Φ螺纹钢，辅筋是12Φ螺纹钢；520*800为主筋和辅筋，主筋是16Φ螺纹钢和8Φ钢筋。   </w:t>
      </w:r>
    </w:p>
    <w:p w14:paraId="17A064CF">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SMC井盖盖板厚度，500检查井盖盖板厚度40mm, 保护层10mm,底座高度60mm;600检查井盖盖板厚度50mm,保护层15mm,底座高度80mm;700检查井盖盖板厚度60mm,保护层20mm,底座高度90mm;300*500复合表箱厚度30mm,保护层厚度10mm,井座高度48mm;520*800盖板厚度40mm,保护层厚度15mm,井座高度60mm。</w:t>
      </w:r>
    </w:p>
    <w:p w14:paraId="22A66437">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⑤同类规格的复合窨井、复合水表箱应色泽一致，颜色为黑色。</w:t>
      </w:r>
    </w:p>
    <w:p w14:paraId="4790CC35">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⑥井盖与支座装配结构尺寸应符合GB/T6414-</w:t>
      </w:r>
      <w:r>
        <w:rPr>
          <w:rFonts w:hint="eastAsia" w:ascii="宋体" w:hAnsi="宋体" w:eastAsia="宋体" w:cs="宋体"/>
          <w:color w:val="auto"/>
          <w:sz w:val="28"/>
          <w:szCs w:val="28"/>
          <w:highlight w:val="none"/>
          <w:lang w:val="en-US" w:eastAsia="zh-CN"/>
        </w:rPr>
        <w:t>2017</w:t>
      </w:r>
      <w:r>
        <w:rPr>
          <w:rFonts w:hint="eastAsia" w:ascii="宋体" w:hAnsi="宋体" w:eastAsia="宋体" w:cs="宋体"/>
          <w:color w:val="auto"/>
          <w:sz w:val="28"/>
          <w:szCs w:val="28"/>
          <w:highlight w:val="none"/>
          <w:lang w:val="zh-CN"/>
        </w:rPr>
        <w:t>要求，其公差等级不得</w:t>
      </w:r>
      <w:r>
        <w:rPr>
          <w:rFonts w:hint="eastAsia" w:ascii="宋体" w:hAnsi="宋体" w:eastAsia="宋体" w:cs="宋体"/>
          <w:color w:val="auto"/>
          <w:sz w:val="28"/>
          <w:szCs w:val="28"/>
          <w:highlight w:val="none"/>
          <w:lang w:val="en-US" w:eastAsia="zh-CN"/>
        </w:rPr>
        <w:t>低于</w:t>
      </w:r>
      <w:r>
        <w:rPr>
          <w:rFonts w:hint="eastAsia" w:ascii="宋体" w:hAnsi="宋体" w:eastAsia="宋体" w:cs="宋体"/>
          <w:color w:val="auto"/>
          <w:sz w:val="28"/>
          <w:szCs w:val="28"/>
          <w:highlight w:val="none"/>
          <w:lang w:val="zh-CN"/>
        </w:rPr>
        <w:t>GB/T6414-</w:t>
      </w:r>
      <w:r>
        <w:rPr>
          <w:rFonts w:hint="eastAsia" w:ascii="宋体" w:hAnsi="宋体" w:eastAsia="宋体" w:cs="宋体"/>
          <w:color w:val="auto"/>
          <w:sz w:val="28"/>
          <w:szCs w:val="28"/>
          <w:highlight w:val="none"/>
          <w:lang w:val="en-US" w:eastAsia="zh-CN"/>
        </w:rPr>
        <w:t>2017</w:t>
      </w:r>
      <w:r>
        <w:rPr>
          <w:rFonts w:hint="eastAsia" w:ascii="宋体" w:hAnsi="宋体" w:eastAsia="宋体" w:cs="宋体"/>
          <w:color w:val="auto"/>
          <w:sz w:val="28"/>
          <w:szCs w:val="28"/>
          <w:highlight w:val="none"/>
          <w:lang w:val="zh-CN"/>
        </w:rPr>
        <w:t>中</w:t>
      </w:r>
      <w:r>
        <w:rPr>
          <w:rFonts w:hint="eastAsia" w:ascii="宋体" w:hAnsi="宋体" w:eastAsia="宋体" w:cs="宋体"/>
          <w:color w:val="auto"/>
          <w:sz w:val="28"/>
          <w:szCs w:val="28"/>
          <w:highlight w:val="none"/>
          <w:lang w:val="en-US" w:eastAsia="zh-CN"/>
        </w:rPr>
        <w:t>D</w:t>
      </w:r>
      <w:r>
        <w:rPr>
          <w:rFonts w:hint="eastAsia" w:ascii="宋体" w:hAnsi="宋体" w:eastAsia="宋体" w:cs="宋体"/>
          <w:color w:val="auto"/>
          <w:sz w:val="28"/>
          <w:szCs w:val="28"/>
          <w:highlight w:val="none"/>
          <w:lang w:val="zh-CN"/>
        </w:rPr>
        <w:t>CT</w:t>
      </w:r>
      <w:r>
        <w:rPr>
          <w:rFonts w:hint="eastAsia" w:ascii="宋体" w:hAnsi="宋体" w:eastAsia="宋体" w:cs="宋体"/>
          <w:color w:val="auto"/>
          <w:sz w:val="28"/>
          <w:szCs w:val="28"/>
          <w:highlight w:val="none"/>
          <w:lang w:val="en-US" w:eastAsia="zh-CN"/>
        </w:rPr>
        <w:t>G</w:t>
      </w:r>
      <w:r>
        <w:rPr>
          <w:rFonts w:hint="eastAsia" w:ascii="宋体" w:hAnsi="宋体" w:eastAsia="宋体" w:cs="宋体"/>
          <w:color w:val="auto"/>
          <w:sz w:val="28"/>
          <w:szCs w:val="28"/>
          <w:highlight w:val="none"/>
          <w:lang w:val="zh-CN"/>
        </w:rPr>
        <w:t>10的规定，并保证井盖与支座的互换性。</w:t>
      </w:r>
    </w:p>
    <w:p w14:paraId="4EDF51E5">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⑦复合窨井、复合水表箱的模压件应洁净、无空隙、裂缝、瑕疵、砂眼等缺陷。</w:t>
      </w:r>
    </w:p>
    <w:p w14:paraId="4D214B85">
      <w:pPr>
        <w:adjustRightInd w:val="0"/>
        <w:snapToGrid w:val="0"/>
        <w:spacing w:line="48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⑧每只复合窨井盖板和水表箱盖板上，应根据采购人要求加刻“城投供水”和“0513-12345”字样，所印文字和文字大小在签订合同时商定（不计费）</w:t>
      </w:r>
      <w:r>
        <w:rPr>
          <w:rFonts w:hint="eastAsia" w:ascii="宋体" w:hAnsi="宋体" w:eastAsia="宋体" w:cs="宋体"/>
          <w:color w:val="auto"/>
          <w:sz w:val="28"/>
          <w:szCs w:val="28"/>
          <w:highlight w:val="none"/>
          <w:lang w:val="zh-CN" w:eastAsia="zh-CN"/>
        </w:rPr>
        <w:t>。</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1792C2E6">
      <w:pPr>
        <w:adjustRightInd w:val="0"/>
        <w:snapToGrid w:val="0"/>
        <w:spacing w:line="48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供货周期要求：</w:t>
      </w:r>
      <w:r>
        <w:rPr>
          <w:rFonts w:hint="eastAsia" w:ascii="宋体" w:hAnsi="宋体" w:eastAsia="宋体" w:cs="宋体"/>
          <w:color w:val="auto"/>
          <w:sz w:val="28"/>
          <w:szCs w:val="28"/>
          <w:highlight w:val="none"/>
        </w:rPr>
        <w:t>1年。供货商应根据采购人通知要求的时间、批次及时供货，不得影响供货进度。若供货方不能按规定的时间供货的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F9E29DE">
      <w:pPr>
        <w:adjustRightInd w:val="0"/>
        <w:snapToGrid w:val="0"/>
        <w:spacing w:line="480" w:lineRule="exact"/>
        <w:ind w:firstLine="562" w:firstLineChars="200"/>
        <w:contextualSpacing/>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交货、安装地点：</w:t>
      </w:r>
      <w:r>
        <w:rPr>
          <w:rFonts w:hint="eastAsia" w:ascii="宋体" w:hAnsi="宋体" w:eastAsia="宋体" w:cs="宋体"/>
          <w:color w:val="auto"/>
          <w:sz w:val="28"/>
          <w:szCs w:val="28"/>
          <w:highlight w:val="none"/>
        </w:rPr>
        <w:t>运输</w:t>
      </w:r>
      <w:r>
        <w:rPr>
          <w:rFonts w:hint="eastAsia" w:ascii="宋体" w:hAnsi="宋体" w:eastAsia="宋体" w:cs="宋体"/>
          <w:color w:val="auto"/>
          <w:sz w:val="28"/>
          <w:szCs w:val="28"/>
          <w:highlight w:val="none"/>
          <w:lang w:val="en-US" w:eastAsia="zh-CN"/>
        </w:rPr>
        <w:t>并卸货至</w:t>
      </w:r>
      <w:r>
        <w:rPr>
          <w:rFonts w:hint="eastAsia" w:ascii="宋体" w:hAnsi="宋体" w:eastAsia="宋体" w:cs="宋体"/>
          <w:color w:val="auto"/>
          <w:sz w:val="28"/>
          <w:szCs w:val="28"/>
          <w:highlight w:val="none"/>
        </w:rPr>
        <w:t>采购人指定地点，并指导安装。</w:t>
      </w:r>
    </w:p>
    <w:p w14:paraId="2F6A885C">
      <w:pPr>
        <w:adjustRightInd w:val="0"/>
        <w:snapToGrid w:val="0"/>
        <w:spacing w:line="48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质量要求：</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w:t>
      </w:r>
      <w:r>
        <w:rPr>
          <w:rFonts w:hint="eastAsia" w:ascii="宋体" w:hAnsi="宋体" w:eastAsia="宋体" w:cs="宋体"/>
          <w:color w:val="auto"/>
          <w:sz w:val="28"/>
          <w:szCs w:val="28"/>
          <w:highlight w:val="none"/>
        </w:rPr>
        <w:t>商须提供符合采购需求、符合国家质量检测标准的全新未使用过的原装合格产品，产品质量符合</w:t>
      </w:r>
      <w:r>
        <w:rPr>
          <w:rFonts w:hint="eastAsia" w:ascii="宋体" w:hAnsi="宋体" w:eastAsia="宋体" w:cs="宋体"/>
          <w:color w:val="auto"/>
          <w:sz w:val="28"/>
          <w:szCs w:val="28"/>
          <w:highlight w:val="none"/>
          <w:lang w:val="en-US" w:eastAsia="zh-CN"/>
        </w:rPr>
        <w:t>招标</w:t>
      </w:r>
      <w:r>
        <w:rPr>
          <w:rFonts w:hint="eastAsia" w:ascii="宋体" w:hAnsi="宋体" w:eastAsia="宋体" w:cs="宋体"/>
          <w:color w:val="auto"/>
          <w:sz w:val="28"/>
          <w:szCs w:val="28"/>
          <w:highlight w:val="none"/>
        </w:rPr>
        <w:t>文件要求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行业及国家标准（供货时提供相关证明材料、有效产品合格证）。</w:t>
      </w:r>
    </w:p>
    <w:p w14:paraId="42C178A4">
      <w:pPr>
        <w:adjustRightInd w:val="0"/>
        <w:snapToGrid w:val="0"/>
        <w:spacing w:line="48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质保、售后服务要求：</w:t>
      </w:r>
      <w:r>
        <w:rPr>
          <w:rFonts w:hint="eastAsia" w:ascii="宋体" w:hAnsi="宋体" w:eastAsia="宋体" w:cs="宋体"/>
          <w:color w:val="auto"/>
          <w:sz w:val="28"/>
          <w:szCs w:val="28"/>
          <w:highlight w:val="none"/>
        </w:rPr>
        <w:t>供应商报价时须承诺所供货物的免费质保期为</w:t>
      </w: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rPr>
        <w:t>年（原厂质保期高于供应商承诺质保期的，按原厂质保期计算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自验收合格报告签字确认日起，开始进入质保期）。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w:t>
      </w:r>
      <w:r>
        <w:rPr>
          <w:rFonts w:hint="eastAsia" w:ascii="宋体" w:hAnsi="宋体" w:eastAsia="宋体" w:cs="宋体"/>
          <w:color w:val="auto"/>
          <w:sz w:val="28"/>
          <w:szCs w:val="28"/>
          <w:highlight w:val="none"/>
          <w:lang w:eastAsia="zh-CN"/>
        </w:rPr>
        <w:t>启东水司</w:t>
      </w:r>
      <w:r>
        <w:rPr>
          <w:rFonts w:hint="eastAsia" w:ascii="宋体" w:hAnsi="宋体" w:eastAsia="宋体" w:cs="宋体"/>
          <w:color w:val="auto"/>
          <w:sz w:val="28"/>
          <w:szCs w:val="28"/>
          <w:highlight w:val="none"/>
        </w:rPr>
        <w:t>的采购项目。</w:t>
      </w:r>
    </w:p>
    <w:p w14:paraId="6405D1FA">
      <w:pPr>
        <w:keepNext w:val="0"/>
        <w:keepLines w:val="0"/>
        <w:pageBreakBefore w:val="0"/>
        <w:wordWrap/>
        <w:overflowPunct/>
        <w:topLinePunct w:val="0"/>
        <w:autoSpaceDE w:val="0"/>
        <w:autoSpaceDN w:val="0"/>
        <w:bidi w:val="0"/>
        <w:adjustRightInd w:val="0"/>
        <w:snapToGrid w:val="0"/>
        <w:spacing w:line="50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（五）验收要求</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中标人签订合同后在招标人规定的时间内，必须将符合招标文件要求的所有合格货物送到指定地点，由采购人相关人员对所供货物进行数量清点和外观检查，并且对</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进行抽样送检，抽检频率为每种</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一年</w:t>
      </w:r>
      <w:r>
        <w:rPr>
          <w:rFonts w:hint="eastAsia" w:ascii="宋体" w:hAnsi="宋体" w:eastAsia="宋体" w:cs="宋体"/>
          <w:color w:val="auto"/>
          <w:sz w:val="28"/>
          <w:szCs w:val="28"/>
          <w:highlight w:val="none"/>
          <w:lang w:val="en-US" w:eastAsia="zh-CN"/>
        </w:rPr>
        <w:t>不少于</w:t>
      </w:r>
      <w:r>
        <w:rPr>
          <w:rFonts w:hint="eastAsia" w:ascii="宋体" w:hAnsi="宋体" w:eastAsia="宋体" w:cs="宋体"/>
          <w:color w:val="auto"/>
          <w:sz w:val="28"/>
          <w:szCs w:val="28"/>
          <w:highlight w:val="none"/>
        </w:rPr>
        <w:t>四次，时间根据采购批次不定期抽检，</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每次型号随机抽取一组</w:t>
      </w:r>
      <w:r>
        <w:rPr>
          <w:rFonts w:hint="eastAsia" w:ascii="宋体" w:hAnsi="宋体" w:eastAsia="宋体" w:cs="宋体"/>
          <w:color w:val="auto"/>
          <w:sz w:val="28"/>
          <w:szCs w:val="28"/>
          <w:highlight w:val="none"/>
          <w:lang w:val="en-US" w:eastAsia="zh-CN"/>
        </w:rPr>
        <w:t>材料</w:t>
      </w:r>
      <w:r>
        <w:rPr>
          <w:rFonts w:hint="eastAsia" w:ascii="宋体" w:hAnsi="宋体" w:eastAsia="宋体" w:cs="宋体"/>
          <w:color w:val="auto"/>
          <w:sz w:val="28"/>
          <w:szCs w:val="28"/>
          <w:highlight w:val="none"/>
        </w:rPr>
        <w:t>样品送检，相关送检费用由供应商承担。</w:t>
      </w:r>
      <w:r>
        <w:rPr>
          <w:rFonts w:hint="eastAsia" w:ascii="宋体" w:hAnsi="宋体" w:eastAsia="宋体" w:cs="宋体"/>
          <w:color w:val="auto"/>
          <w:sz w:val="28"/>
          <w:szCs w:val="28"/>
          <w:highlight w:val="none"/>
          <w:lang w:val="zh-CN"/>
        </w:rPr>
        <w:t>必要时，采购单位可邀请相关质量监督部门或第三方检测单位对</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lang w:val="zh-CN"/>
        </w:rPr>
        <w:t>供应商所供货物进行验收及检测，检测费用由</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lang w:val="zh-CN"/>
        </w:rPr>
        <w:t>供应商负责，如验收或检测发现所供货物不合格，视为验收不合格，终止合同履行，履约保证金不予退还</w:t>
      </w:r>
      <w:r>
        <w:rPr>
          <w:rFonts w:hint="eastAsia" w:ascii="宋体" w:hAnsi="宋体" w:eastAsia="宋体" w:cs="宋体"/>
          <w:color w:val="auto"/>
          <w:sz w:val="28"/>
          <w:szCs w:val="28"/>
          <w:lang w:val="zh-CN"/>
        </w:rPr>
        <w:t>。</w:t>
      </w:r>
    </w:p>
    <w:p w14:paraId="650FF663">
      <w:pPr>
        <w:keepNext w:val="0"/>
        <w:keepLines w:val="0"/>
        <w:pageBreakBefore w:val="0"/>
        <w:wordWrap/>
        <w:overflowPunct/>
        <w:topLinePunct w:val="0"/>
        <w:autoSpaceDE w:val="0"/>
        <w:autoSpaceDN w:val="0"/>
        <w:bidi w:val="0"/>
        <w:adjustRightInd w:val="0"/>
        <w:snapToGrid w:val="0"/>
        <w:spacing w:line="500" w:lineRule="exact"/>
        <w:ind w:firstLine="562" w:firstLineChars="200"/>
        <w:jc w:val="left"/>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lang w:val="en-US" w:eastAsia="zh-CN"/>
        </w:rPr>
        <w:t>报价要求及其他事项：</w:t>
      </w:r>
    </w:p>
    <w:p w14:paraId="7BAD2A4F">
      <w:pPr>
        <w:keepNext w:val="0"/>
        <w:keepLines w:val="0"/>
        <w:pageBreakBefore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本项目采取固定单价报价，各投标人每项的分项综合单价报价与分项最高限价相比的下浮率必须一致。</w:t>
      </w:r>
    </w:p>
    <w:p w14:paraId="70111805">
      <w:pPr>
        <w:keepNext w:val="0"/>
        <w:keepLines w:val="0"/>
        <w:pageBreakBefore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整。</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1DFF34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3"/>
        <w:rPr>
          <w:rFonts w:hint="default"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次采购量为预估量，最终结算按每次实际采购量计，每次供货完毕并经验收合格后，收到卖方相应的增值税专用发票后30天内支付该批订单的90%货款，合同期内所供货物的余款10%于合同期结束满2年后，经采购单位认可后一次性结清。</w:t>
      </w:r>
    </w:p>
    <w:p w14:paraId="29DC3E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注：乙方申请付款的程序应符合甲方的财务规定。</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rPr>
        <w:t>本项目中标后的履约保证金为项目成交价的10%，中标供应商的履约保证金须在成交通知书发出之日起至合同签订前汇入采购单位账户（应当以数字人民币、银行转账、网银、电汇、支票、本票、汇票、银行保函、保险保函等形式提交），中标供应商应当在中标通知书发出之日起30日内，凭中标通知书和履约保证金缴纳凭证，和招标人订立书面合同。中标供应商在中标通知书发出之日起30日内不与招标人签订合同的，视为自动放弃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5F734A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lang w:val="en-US" w:eastAsia="en-US"/>
        </w:rPr>
      </w:pPr>
      <w:r>
        <w:rPr>
          <w:rFonts w:hint="eastAsia" w:ascii="宋体" w:hAnsi="宋体" w:eastAsia="宋体" w:cs="宋体"/>
          <w:b/>
          <w:bCs/>
          <w:color w:val="auto"/>
          <w:spacing w:val="-5"/>
          <w:sz w:val="28"/>
          <w:szCs w:val="28"/>
          <w:highlight w:val="none"/>
          <w:lang w:val="en-US" w:eastAsia="zh-CN"/>
        </w:rPr>
        <w:t>八、合同条款</w:t>
      </w:r>
      <w:bookmarkStart w:id="0" w:name="_Toc32735"/>
      <w:bookmarkStart w:id="1" w:name="_Toc82505665"/>
    </w:p>
    <w:p w14:paraId="1A1818CC">
      <w:pPr>
        <w:bidi w:val="0"/>
        <w:rPr>
          <w:lang w:val="en-US" w:eastAsia="en-US"/>
        </w:rPr>
      </w:pPr>
    </w:p>
    <w:bookmarkEnd w:id="0"/>
    <w:bookmarkEnd w:id="1"/>
    <w:p w14:paraId="242FC227">
      <w:pPr>
        <w:tabs>
          <w:tab w:val="left" w:pos="1731"/>
        </w:tabs>
        <w:bidi w:val="0"/>
        <w:jc w:val="left"/>
        <w:rPr>
          <w:rFonts w:hint="eastAsia" w:ascii="宋体" w:hAnsi="宋体" w:eastAsia="宋体" w:cs="宋体"/>
          <w:color w:val="000000"/>
          <w:sz w:val="24"/>
        </w:rPr>
      </w:pPr>
      <w:r>
        <w:rPr>
          <w:rFonts w:hint="eastAsia" w:ascii="宋体" w:hAnsi="宋体" w:eastAsia="宋体" w:cs="宋体"/>
          <w:color w:val="000000"/>
          <w:sz w:val="24"/>
        </w:rPr>
        <w:t>采购方：</w:t>
      </w:r>
      <w:r>
        <w:rPr>
          <w:rFonts w:hint="eastAsia" w:ascii="宋体" w:hAnsi="宋体" w:eastAsia="宋体" w:cs="宋体"/>
          <w:color w:val="000000"/>
          <w:sz w:val="24"/>
          <w:u w:val="single"/>
        </w:rPr>
        <w:t>启东市自来水厂有限公司</w:t>
      </w:r>
    </w:p>
    <w:p w14:paraId="577560EB">
      <w:pPr>
        <w:keepNext w:val="0"/>
        <w:keepLines w:val="0"/>
        <w:pageBreakBefore w:val="0"/>
        <w:widowControl w:val="0"/>
        <w:kinsoku/>
        <w:wordWrap/>
        <w:overflowPunct/>
        <w:topLinePunct w:val="0"/>
        <w:autoSpaceDE/>
        <w:autoSpaceDN/>
        <w:bidi w:val="0"/>
        <w:spacing w:line="440" w:lineRule="exact"/>
        <w:textAlignment w:val="auto"/>
        <w:rPr>
          <w:rFonts w:hint="default" w:ascii="宋体" w:hAnsi="宋体" w:eastAsia="宋体" w:cs="宋体"/>
          <w:color w:val="000000"/>
          <w:sz w:val="24"/>
          <w:lang w:val="en-US"/>
        </w:rPr>
      </w:pPr>
      <w:r>
        <w:rPr>
          <w:rFonts w:hint="eastAsia" w:ascii="宋体" w:hAnsi="宋体" w:eastAsia="宋体" w:cs="宋体"/>
          <w:color w:val="000000"/>
          <w:sz w:val="24"/>
        </w:rPr>
        <w:t>供货方：</w:t>
      </w:r>
      <w:r>
        <w:rPr>
          <w:rFonts w:hint="eastAsia" w:ascii="宋体" w:hAnsi="宋体" w:eastAsia="宋体" w:cs="宋体"/>
          <w:color w:val="000000"/>
          <w:sz w:val="24"/>
          <w:u w:val="single"/>
          <w:lang w:val="en-US" w:eastAsia="zh-CN"/>
        </w:rPr>
        <w:t xml:space="preserve">                      </w:t>
      </w:r>
    </w:p>
    <w:p w14:paraId="7F2866AA">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rPr>
      </w:pPr>
    </w:p>
    <w:p w14:paraId="27F03EE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rPr>
      </w:pPr>
      <w:r>
        <w:rPr>
          <w:rFonts w:hint="eastAsia" w:ascii="宋体" w:hAnsi="宋体" w:eastAsia="宋体" w:cs="宋体"/>
          <w:color w:val="000000"/>
          <w:sz w:val="24"/>
        </w:rPr>
        <w:t>买卖双方依据中标通知书内容：采购方</w:t>
      </w:r>
      <w:r>
        <w:rPr>
          <w:rFonts w:hint="eastAsia" w:ascii="宋体" w:hAnsi="宋体" w:eastAsia="宋体" w:cs="宋体"/>
          <w:color w:val="000000"/>
          <w:sz w:val="24"/>
          <w:u w:val="single"/>
        </w:rPr>
        <w:t xml:space="preserve">启东市自来水厂有限公司 </w:t>
      </w:r>
      <w:r>
        <w:rPr>
          <w:rFonts w:hint="eastAsia" w:ascii="宋体" w:hAnsi="宋体" w:eastAsia="宋体" w:cs="宋体"/>
          <w:color w:val="000000"/>
          <w:sz w:val="24"/>
        </w:rPr>
        <w:t>（以下简称采购方或买方）就采购方所需与供货方</w:t>
      </w:r>
      <w:r>
        <w:rPr>
          <w:rFonts w:hint="eastAsia" w:ascii="宋体" w:hAnsi="宋体" w:eastAsia="宋体" w:cs="宋体"/>
          <w:color w:val="000000"/>
          <w:sz w:val="24"/>
          <w:u w:val="single"/>
        </w:rPr>
        <w:t>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（以下简称供货方或卖方）签订货物供货合同。相关具体商务及技术条款如下：</w:t>
      </w:r>
    </w:p>
    <w:p w14:paraId="5E03E224">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color w:val="000000"/>
          <w:sz w:val="24"/>
        </w:rPr>
      </w:pPr>
      <w:r>
        <w:rPr>
          <w:rFonts w:hint="eastAsia" w:ascii="宋体" w:hAnsi="宋体" w:eastAsia="宋体" w:cs="宋体"/>
          <w:b/>
          <w:color w:val="000000"/>
          <w:sz w:val="24"/>
        </w:rPr>
        <w:t>一、商务条款</w:t>
      </w:r>
    </w:p>
    <w:p w14:paraId="0D6ADBA2">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rPr>
      </w:pPr>
      <w:r>
        <w:rPr>
          <w:rFonts w:hint="eastAsia" w:ascii="宋体" w:hAnsi="宋体" w:eastAsia="宋体" w:cs="宋体"/>
          <w:b/>
          <w:bCs w:val="0"/>
          <w:color w:val="000000"/>
          <w:sz w:val="24"/>
        </w:rPr>
        <w:t>1.供货范围：</w:t>
      </w:r>
    </w:p>
    <w:p w14:paraId="0B75565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sz w:val="24"/>
        </w:rPr>
      </w:pPr>
      <w:r>
        <w:rPr>
          <w:rFonts w:hint="eastAsia" w:ascii="宋体" w:hAnsi="宋体" w:eastAsia="宋体" w:cs="宋体"/>
          <w:sz w:val="24"/>
        </w:rPr>
        <w:t>采购方订购的产品清单及</w:t>
      </w:r>
      <w:r>
        <w:rPr>
          <w:rFonts w:hint="eastAsia" w:ascii="宋体" w:hAnsi="宋体" w:eastAsia="宋体" w:cs="宋体"/>
          <w:bCs/>
          <w:sz w:val="24"/>
        </w:rPr>
        <w:t>价格如下：</w:t>
      </w:r>
      <w:r>
        <w:rPr>
          <w:rFonts w:hint="eastAsia" w:ascii="宋体" w:hAnsi="宋体" w:eastAsia="宋体" w:cs="宋体"/>
          <w:bCs/>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单价：人民币元</w:t>
      </w:r>
    </w:p>
    <w:tbl>
      <w:tblPr>
        <w:tblStyle w:val="7"/>
        <w:tblpPr w:leftFromText="180" w:rightFromText="180" w:vertAnchor="text" w:horzAnchor="page" w:tblpXSpec="center" w:tblpY="347"/>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74"/>
        <w:gridCol w:w="1236"/>
        <w:gridCol w:w="648"/>
        <w:gridCol w:w="780"/>
        <w:gridCol w:w="1116"/>
        <w:gridCol w:w="1284"/>
        <w:gridCol w:w="1223"/>
      </w:tblGrid>
      <w:tr w14:paraId="4ED3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noWrap w:val="0"/>
            <w:vAlign w:val="center"/>
          </w:tcPr>
          <w:p w14:paraId="1EDCFD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74" w:type="dxa"/>
            <w:noWrap w:val="0"/>
            <w:vAlign w:val="center"/>
          </w:tcPr>
          <w:p w14:paraId="7D91B1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1236" w:type="dxa"/>
            <w:noWrap w:val="0"/>
            <w:vAlign w:val="center"/>
          </w:tcPr>
          <w:p w14:paraId="13217A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规格</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型号</w:t>
            </w:r>
          </w:p>
        </w:tc>
        <w:tc>
          <w:tcPr>
            <w:tcW w:w="648" w:type="dxa"/>
            <w:noWrap w:val="0"/>
            <w:vAlign w:val="center"/>
          </w:tcPr>
          <w:p w14:paraId="58014F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计量单位</w:t>
            </w:r>
          </w:p>
        </w:tc>
        <w:tc>
          <w:tcPr>
            <w:tcW w:w="780" w:type="dxa"/>
            <w:noWrap w:val="0"/>
            <w:vAlign w:val="center"/>
          </w:tcPr>
          <w:p w14:paraId="4DCE06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预估数量</w:t>
            </w:r>
          </w:p>
        </w:tc>
        <w:tc>
          <w:tcPr>
            <w:tcW w:w="1116" w:type="dxa"/>
            <w:noWrap w:val="0"/>
            <w:vAlign w:val="center"/>
          </w:tcPr>
          <w:p w14:paraId="3CF165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单价（元）</w:t>
            </w:r>
          </w:p>
        </w:tc>
        <w:tc>
          <w:tcPr>
            <w:tcW w:w="1284" w:type="dxa"/>
            <w:noWrap w:val="0"/>
            <w:vAlign w:val="center"/>
          </w:tcPr>
          <w:p w14:paraId="36F7D3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p w14:paraId="2F593D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223" w:type="dxa"/>
            <w:noWrap w:val="0"/>
            <w:vAlign w:val="center"/>
          </w:tcPr>
          <w:p w14:paraId="0A015F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品牌</w:t>
            </w:r>
          </w:p>
        </w:tc>
      </w:tr>
      <w:tr w14:paraId="1260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noWrap w:val="0"/>
            <w:vAlign w:val="center"/>
          </w:tcPr>
          <w:p w14:paraId="288DE9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1774" w:type="dxa"/>
            <w:noWrap w:val="0"/>
            <w:vAlign w:val="center"/>
          </w:tcPr>
          <w:p w14:paraId="7850B1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1236" w:type="dxa"/>
            <w:noWrap w:val="0"/>
            <w:vAlign w:val="center"/>
          </w:tcPr>
          <w:p w14:paraId="52E72CAD">
            <w:pPr>
              <w:keepNext w:val="0"/>
              <w:keepLines w:val="0"/>
              <w:widowControl/>
              <w:suppressLineNumbers w:val="0"/>
              <w:jc w:val="center"/>
              <w:textAlignment w:val="center"/>
              <w:rPr>
                <w:rFonts w:hint="eastAsia" w:ascii="宋体" w:hAnsi="宋体" w:eastAsia="宋体" w:cs="宋体"/>
                <w:color w:val="auto"/>
                <w:kern w:val="0"/>
                <w:szCs w:val="21"/>
                <w:highlight w:val="none"/>
              </w:rPr>
            </w:pPr>
          </w:p>
        </w:tc>
        <w:tc>
          <w:tcPr>
            <w:tcW w:w="648" w:type="dxa"/>
            <w:noWrap w:val="0"/>
            <w:vAlign w:val="center"/>
          </w:tcPr>
          <w:p w14:paraId="5B042DDC">
            <w:pPr>
              <w:keepNext w:val="0"/>
              <w:keepLines w:val="0"/>
              <w:widowControl/>
              <w:suppressLineNumbers w:val="0"/>
              <w:jc w:val="center"/>
              <w:textAlignment w:val="center"/>
              <w:rPr>
                <w:rFonts w:hint="eastAsia" w:ascii="宋体" w:hAnsi="宋体" w:eastAsia="宋体" w:cs="宋体"/>
                <w:color w:val="auto"/>
                <w:kern w:val="0"/>
                <w:sz w:val="22"/>
                <w:highlight w:val="none"/>
              </w:rPr>
            </w:pPr>
          </w:p>
        </w:tc>
        <w:tc>
          <w:tcPr>
            <w:tcW w:w="780" w:type="dxa"/>
            <w:noWrap w:val="0"/>
            <w:vAlign w:val="center"/>
          </w:tcPr>
          <w:p w14:paraId="0D30C528">
            <w:pPr>
              <w:keepNext w:val="0"/>
              <w:keepLines w:val="0"/>
              <w:widowControl/>
              <w:suppressLineNumbers w:val="0"/>
              <w:jc w:val="center"/>
              <w:textAlignment w:val="center"/>
              <w:rPr>
                <w:rFonts w:hint="eastAsia" w:ascii="宋体" w:hAnsi="宋体" w:eastAsia="宋体" w:cs="宋体"/>
                <w:color w:val="auto"/>
                <w:highlight w:val="none"/>
              </w:rPr>
            </w:pPr>
          </w:p>
        </w:tc>
        <w:tc>
          <w:tcPr>
            <w:tcW w:w="1116" w:type="dxa"/>
            <w:noWrap w:val="0"/>
            <w:vAlign w:val="center"/>
          </w:tcPr>
          <w:p w14:paraId="60934A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84" w:type="dxa"/>
            <w:noWrap w:val="0"/>
            <w:vAlign w:val="center"/>
          </w:tcPr>
          <w:p w14:paraId="43D94C2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23" w:type="dxa"/>
            <w:noWrap w:val="0"/>
            <w:vAlign w:val="center"/>
          </w:tcPr>
          <w:p w14:paraId="693733C5">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r>
      <w:tr w14:paraId="5FCA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189E98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1774" w:type="dxa"/>
            <w:noWrap w:val="0"/>
            <w:vAlign w:val="center"/>
          </w:tcPr>
          <w:p w14:paraId="0F3251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1236" w:type="dxa"/>
            <w:noWrap w:val="0"/>
            <w:vAlign w:val="center"/>
          </w:tcPr>
          <w:p w14:paraId="3510B8D6">
            <w:pPr>
              <w:keepNext w:val="0"/>
              <w:keepLines w:val="0"/>
              <w:widowControl/>
              <w:suppressLineNumbers w:val="0"/>
              <w:jc w:val="center"/>
              <w:textAlignment w:val="center"/>
              <w:rPr>
                <w:rFonts w:hint="eastAsia" w:ascii="宋体" w:hAnsi="宋体" w:eastAsia="宋体" w:cs="宋体"/>
                <w:color w:val="auto"/>
                <w:kern w:val="0"/>
                <w:szCs w:val="21"/>
                <w:highlight w:val="none"/>
              </w:rPr>
            </w:pPr>
          </w:p>
        </w:tc>
        <w:tc>
          <w:tcPr>
            <w:tcW w:w="648" w:type="dxa"/>
            <w:noWrap w:val="0"/>
            <w:vAlign w:val="center"/>
          </w:tcPr>
          <w:p w14:paraId="21C5BC1F">
            <w:pPr>
              <w:keepNext w:val="0"/>
              <w:keepLines w:val="0"/>
              <w:widowControl/>
              <w:suppressLineNumbers w:val="0"/>
              <w:jc w:val="center"/>
              <w:textAlignment w:val="center"/>
              <w:rPr>
                <w:rFonts w:hint="eastAsia" w:ascii="宋体" w:hAnsi="宋体" w:eastAsia="宋体" w:cs="宋体"/>
                <w:color w:val="auto"/>
                <w:kern w:val="0"/>
                <w:sz w:val="22"/>
                <w:highlight w:val="none"/>
              </w:rPr>
            </w:pPr>
          </w:p>
        </w:tc>
        <w:tc>
          <w:tcPr>
            <w:tcW w:w="780" w:type="dxa"/>
            <w:noWrap w:val="0"/>
            <w:vAlign w:val="center"/>
          </w:tcPr>
          <w:p w14:paraId="25EE400C">
            <w:pPr>
              <w:keepNext w:val="0"/>
              <w:keepLines w:val="0"/>
              <w:widowControl/>
              <w:suppressLineNumbers w:val="0"/>
              <w:jc w:val="center"/>
              <w:textAlignment w:val="center"/>
              <w:rPr>
                <w:rFonts w:hint="eastAsia" w:ascii="宋体" w:hAnsi="宋体" w:eastAsia="宋体" w:cs="宋体"/>
                <w:color w:val="auto"/>
                <w:highlight w:val="none"/>
              </w:rPr>
            </w:pPr>
          </w:p>
        </w:tc>
        <w:tc>
          <w:tcPr>
            <w:tcW w:w="1116" w:type="dxa"/>
            <w:noWrap w:val="0"/>
            <w:vAlign w:val="center"/>
          </w:tcPr>
          <w:p w14:paraId="4380CCC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84" w:type="dxa"/>
            <w:noWrap w:val="0"/>
            <w:vAlign w:val="center"/>
          </w:tcPr>
          <w:p w14:paraId="7535856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23" w:type="dxa"/>
            <w:noWrap w:val="0"/>
            <w:vAlign w:val="center"/>
          </w:tcPr>
          <w:p w14:paraId="08B57D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06B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434745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1774" w:type="dxa"/>
            <w:noWrap w:val="0"/>
            <w:vAlign w:val="center"/>
          </w:tcPr>
          <w:p w14:paraId="442F95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1236" w:type="dxa"/>
            <w:noWrap w:val="0"/>
            <w:vAlign w:val="center"/>
          </w:tcPr>
          <w:p w14:paraId="7C2F45E6">
            <w:pPr>
              <w:keepNext w:val="0"/>
              <w:keepLines w:val="0"/>
              <w:widowControl/>
              <w:suppressLineNumbers w:val="0"/>
              <w:jc w:val="center"/>
              <w:textAlignment w:val="center"/>
              <w:rPr>
                <w:rFonts w:hint="eastAsia" w:ascii="宋体" w:hAnsi="宋体" w:eastAsia="宋体" w:cs="宋体"/>
                <w:color w:val="auto"/>
                <w:kern w:val="0"/>
                <w:szCs w:val="21"/>
                <w:highlight w:val="none"/>
              </w:rPr>
            </w:pPr>
          </w:p>
        </w:tc>
        <w:tc>
          <w:tcPr>
            <w:tcW w:w="648" w:type="dxa"/>
            <w:noWrap w:val="0"/>
            <w:vAlign w:val="center"/>
          </w:tcPr>
          <w:p w14:paraId="466E1F2B">
            <w:pPr>
              <w:keepNext w:val="0"/>
              <w:keepLines w:val="0"/>
              <w:widowControl/>
              <w:suppressLineNumbers w:val="0"/>
              <w:jc w:val="center"/>
              <w:textAlignment w:val="center"/>
              <w:rPr>
                <w:rFonts w:hint="eastAsia" w:ascii="宋体" w:hAnsi="宋体" w:eastAsia="宋体" w:cs="宋体"/>
                <w:color w:val="auto"/>
                <w:kern w:val="0"/>
                <w:sz w:val="22"/>
                <w:highlight w:val="none"/>
              </w:rPr>
            </w:pPr>
          </w:p>
        </w:tc>
        <w:tc>
          <w:tcPr>
            <w:tcW w:w="780" w:type="dxa"/>
            <w:noWrap w:val="0"/>
            <w:vAlign w:val="center"/>
          </w:tcPr>
          <w:p w14:paraId="605EC350">
            <w:pPr>
              <w:keepNext w:val="0"/>
              <w:keepLines w:val="0"/>
              <w:widowControl/>
              <w:suppressLineNumbers w:val="0"/>
              <w:jc w:val="center"/>
              <w:textAlignment w:val="center"/>
              <w:rPr>
                <w:rFonts w:hint="eastAsia" w:ascii="宋体" w:hAnsi="宋体" w:eastAsia="宋体" w:cs="宋体"/>
                <w:color w:val="auto"/>
                <w:highlight w:val="none"/>
              </w:rPr>
            </w:pPr>
          </w:p>
        </w:tc>
        <w:tc>
          <w:tcPr>
            <w:tcW w:w="1116" w:type="dxa"/>
            <w:noWrap w:val="0"/>
            <w:vAlign w:val="center"/>
          </w:tcPr>
          <w:p w14:paraId="4337E9E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84" w:type="dxa"/>
            <w:noWrap w:val="0"/>
            <w:vAlign w:val="center"/>
          </w:tcPr>
          <w:p w14:paraId="562B50F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23" w:type="dxa"/>
            <w:noWrap w:val="0"/>
            <w:vAlign w:val="center"/>
          </w:tcPr>
          <w:p w14:paraId="598318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624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4C4341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1774" w:type="dxa"/>
            <w:noWrap w:val="0"/>
            <w:vAlign w:val="center"/>
          </w:tcPr>
          <w:p w14:paraId="72C23B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1236" w:type="dxa"/>
            <w:noWrap w:val="0"/>
            <w:vAlign w:val="center"/>
          </w:tcPr>
          <w:p w14:paraId="3D28C7C1">
            <w:pPr>
              <w:keepNext w:val="0"/>
              <w:keepLines w:val="0"/>
              <w:widowControl/>
              <w:suppressLineNumbers w:val="0"/>
              <w:jc w:val="center"/>
              <w:textAlignment w:val="center"/>
              <w:rPr>
                <w:rFonts w:hint="eastAsia" w:ascii="宋体" w:hAnsi="宋体" w:eastAsia="宋体" w:cs="宋体"/>
                <w:color w:val="auto"/>
                <w:kern w:val="0"/>
                <w:szCs w:val="21"/>
                <w:highlight w:val="none"/>
              </w:rPr>
            </w:pPr>
          </w:p>
        </w:tc>
        <w:tc>
          <w:tcPr>
            <w:tcW w:w="648" w:type="dxa"/>
            <w:noWrap w:val="0"/>
            <w:vAlign w:val="center"/>
          </w:tcPr>
          <w:p w14:paraId="7ED91D9B">
            <w:pPr>
              <w:keepNext w:val="0"/>
              <w:keepLines w:val="0"/>
              <w:widowControl/>
              <w:suppressLineNumbers w:val="0"/>
              <w:jc w:val="center"/>
              <w:textAlignment w:val="center"/>
              <w:rPr>
                <w:rFonts w:hint="eastAsia" w:ascii="宋体" w:hAnsi="宋体" w:eastAsia="宋体" w:cs="宋体"/>
                <w:color w:val="auto"/>
                <w:kern w:val="0"/>
                <w:sz w:val="22"/>
                <w:highlight w:val="none"/>
              </w:rPr>
            </w:pPr>
          </w:p>
        </w:tc>
        <w:tc>
          <w:tcPr>
            <w:tcW w:w="780" w:type="dxa"/>
            <w:noWrap w:val="0"/>
            <w:vAlign w:val="center"/>
          </w:tcPr>
          <w:p w14:paraId="7E9709CB">
            <w:pPr>
              <w:keepNext w:val="0"/>
              <w:keepLines w:val="0"/>
              <w:widowControl/>
              <w:suppressLineNumbers w:val="0"/>
              <w:jc w:val="center"/>
              <w:textAlignment w:val="center"/>
              <w:rPr>
                <w:rFonts w:hint="eastAsia" w:ascii="宋体" w:hAnsi="宋体" w:eastAsia="宋体" w:cs="宋体"/>
                <w:color w:val="auto"/>
                <w:highlight w:val="none"/>
              </w:rPr>
            </w:pPr>
          </w:p>
        </w:tc>
        <w:tc>
          <w:tcPr>
            <w:tcW w:w="1116" w:type="dxa"/>
            <w:noWrap w:val="0"/>
            <w:vAlign w:val="center"/>
          </w:tcPr>
          <w:p w14:paraId="29B1116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84" w:type="dxa"/>
            <w:noWrap w:val="0"/>
            <w:vAlign w:val="center"/>
          </w:tcPr>
          <w:p w14:paraId="07CA14B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23" w:type="dxa"/>
            <w:noWrap w:val="0"/>
            <w:vAlign w:val="center"/>
          </w:tcPr>
          <w:p w14:paraId="5B5151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F2F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2E92E9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1774" w:type="dxa"/>
            <w:noWrap w:val="0"/>
            <w:vAlign w:val="center"/>
          </w:tcPr>
          <w:p w14:paraId="23A617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1236" w:type="dxa"/>
            <w:noWrap w:val="0"/>
            <w:vAlign w:val="center"/>
          </w:tcPr>
          <w:p w14:paraId="3E4ED803">
            <w:pPr>
              <w:keepNext w:val="0"/>
              <w:keepLines w:val="0"/>
              <w:widowControl/>
              <w:suppressLineNumbers w:val="0"/>
              <w:jc w:val="center"/>
              <w:textAlignment w:val="center"/>
              <w:rPr>
                <w:rFonts w:hint="eastAsia" w:ascii="宋体" w:hAnsi="宋体" w:eastAsia="宋体" w:cs="宋体"/>
                <w:color w:val="auto"/>
                <w:kern w:val="0"/>
                <w:szCs w:val="21"/>
                <w:highlight w:val="none"/>
              </w:rPr>
            </w:pPr>
          </w:p>
        </w:tc>
        <w:tc>
          <w:tcPr>
            <w:tcW w:w="648" w:type="dxa"/>
            <w:noWrap w:val="0"/>
            <w:vAlign w:val="center"/>
          </w:tcPr>
          <w:p w14:paraId="53CE1928">
            <w:pPr>
              <w:keepNext w:val="0"/>
              <w:keepLines w:val="0"/>
              <w:widowControl/>
              <w:suppressLineNumbers w:val="0"/>
              <w:jc w:val="center"/>
              <w:textAlignment w:val="center"/>
              <w:rPr>
                <w:rFonts w:hint="eastAsia" w:ascii="宋体" w:hAnsi="宋体" w:eastAsia="宋体" w:cs="宋体"/>
                <w:color w:val="auto"/>
                <w:kern w:val="0"/>
                <w:sz w:val="22"/>
                <w:highlight w:val="none"/>
              </w:rPr>
            </w:pPr>
          </w:p>
        </w:tc>
        <w:tc>
          <w:tcPr>
            <w:tcW w:w="780" w:type="dxa"/>
            <w:noWrap w:val="0"/>
            <w:vAlign w:val="center"/>
          </w:tcPr>
          <w:p w14:paraId="04F47C91">
            <w:pPr>
              <w:keepNext w:val="0"/>
              <w:keepLines w:val="0"/>
              <w:widowControl/>
              <w:suppressLineNumbers w:val="0"/>
              <w:jc w:val="center"/>
              <w:textAlignment w:val="center"/>
              <w:rPr>
                <w:rFonts w:hint="eastAsia" w:ascii="宋体" w:hAnsi="宋体" w:eastAsia="宋体" w:cs="宋体"/>
                <w:color w:val="auto"/>
                <w:highlight w:val="none"/>
              </w:rPr>
            </w:pPr>
          </w:p>
        </w:tc>
        <w:tc>
          <w:tcPr>
            <w:tcW w:w="1116" w:type="dxa"/>
            <w:noWrap w:val="0"/>
            <w:vAlign w:val="center"/>
          </w:tcPr>
          <w:p w14:paraId="620946F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84" w:type="dxa"/>
            <w:noWrap w:val="0"/>
            <w:vAlign w:val="center"/>
          </w:tcPr>
          <w:p w14:paraId="3076F3F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223" w:type="dxa"/>
            <w:noWrap w:val="0"/>
            <w:vAlign w:val="center"/>
          </w:tcPr>
          <w:p w14:paraId="23E6D0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2B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49" w:type="dxa"/>
            <w:gridSpan w:val="2"/>
            <w:noWrap w:val="0"/>
            <w:vAlign w:val="center"/>
          </w:tcPr>
          <w:p w14:paraId="00497C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总计（预估费用）</w:t>
            </w:r>
          </w:p>
        </w:tc>
        <w:tc>
          <w:tcPr>
            <w:tcW w:w="6287" w:type="dxa"/>
            <w:gridSpan w:val="6"/>
            <w:noWrap w:val="0"/>
            <w:vAlign w:val="center"/>
          </w:tcPr>
          <w:p w14:paraId="2AC09D9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rPr>
              <w:t>大写：</w:t>
            </w:r>
          </w:p>
          <w:p w14:paraId="678926A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xml:space="preserve"> （小写：</w:t>
            </w:r>
            <w:r>
              <w:rPr>
                <w:rFonts w:hint="eastAsia" w:ascii="宋体" w:hAnsi="宋体" w:eastAsia="宋体" w:cs="宋体"/>
                <w:b/>
                <w:bCs/>
                <w:color w:val="auto"/>
                <w:kern w:val="0"/>
                <w:sz w:val="22"/>
                <w:highlight w:val="none"/>
                <w:lang w:val="en-US" w:eastAsia="zh-CN"/>
              </w:rPr>
              <w:t xml:space="preserve">      元</w:t>
            </w:r>
            <w:r>
              <w:rPr>
                <w:rFonts w:hint="eastAsia" w:ascii="宋体" w:hAnsi="宋体" w:eastAsia="宋体" w:cs="宋体"/>
                <w:b/>
                <w:bCs/>
                <w:color w:val="auto"/>
                <w:kern w:val="0"/>
                <w:sz w:val="22"/>
                <w:highlight w:val="none"/>
              </w:rPr>
              <w:t xml:space="preserve"> ） </w:t>
            </w:r>
          </w:p>
        </w:tc>
      </w:tr>
    </w:tbl>
    <w:p w14:paraId="2F94621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p w14:paraId="10A2DE2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（1）单价含13%增值税，含运费，含卸货费（详见合同价格条款）。</w:t>
      </w:r>
    </w:p>
    <w:p w14:paraId="1ABE6CE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（2）结算货款时以采购方实际购买数量和规格为准。</w:t>
      </w:r>
    </w:p>
    <w:p w14:paraId="2AF543C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（3）本合同约定的采购量为预估数量（2025年7月2日-2026年7月1日），具体数量以采购方实际采购的数量为准，供货方式为少量多批次，供货方根据采购方的实际要求发货。</w:t>
      </w:r>
    </w:p>
    <w:p w14:paraId="2B53F79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（4）合同期限内，合同单价不变。</w:t>
      </w:r>
    </w:p>
    <w:p w14:paraId="09A8B89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2.合同价格： </w:t>
      </w:r>
    </w:p>
    <w:p w14:paraId="235E58C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合同单价中，包含了所有</w:t>
      </w:r>
      <w:r>
        <w:rPr>
          <w:rFonts w:hint="eastAsia" w:ascii="宋体" w:hAnsi="宋体" w:eastAsia="宋体" w:cs="宋体"/>
          <w:bCs/>
          <w:color w:val="000000"/>
          <w:sz w:val="24"/>
          <w:szCs w:val="24"/>
          <w:lang w:val="en-US" w:eastAsia="zh-CN"/>
        </w:rPr>
        <w:t>货物</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货物</w:t>
      </w:r>
      <w:r>
        <w:rPr>
          <w:rFonts w:hint="eastAsia" w:ascii="宋体" w:hAnsi="宋体" w:eastAsia="宋体" w:cs="宋体"/>
          <w:bCs/>
          <w:color w:val="000000"/>
          <w:sz w:val="24"/>
          <w:szCs w:val="24"/>
        </w:rPr>
        <w:t>的制作、</w:t>
      </w:r>
      <w:r>
        <w:rPr>
          <w:rFonts w:hint="eastAsia" w:ascii="宋体" w:hAnsi="宋体" w:eastAsia="宋体" w:cs="宋体"/>
          <w:bCs/>
          <w:color w:val="000000"/>
          <w:sz w:val="24"/>
          <w:szCs w:val="24"/>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000000"/>
          <w:sz w:val="24"/>
          <w:szCs w:val="24"/>
        </w:rPr>
        <w:t>等；但在执行合同过程中如发现有任何漏项和短缺，在发货清单中并未列入而且确实是卖方供货范围中应该有的，并且是满足合同技术协议对合同设备的性能保证值要求所必须的，均应由卖方及时补上，</w:t>
      </w:r>
      <w:r>
        <w:rPr>
          <w:rFonts w:hint="eastAsia" w:ascii="宋体" w:hAnsi="宋体" w:eastAsia="宋体" w:cs="宋体"/>
          <w:color w:val="000000"/>
          <w:sz w:val="24"/>
          <w:szCs w:val="24"/>
        </w:rPr>
        <w:t>且不发生费用问题。</w:t>
      </w:r>
    </w:p>
    <w:p w14:paraId="404CE6A5">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3. 付款方式：</w:t>
      </w:r>
      <w:r>
        <w:rPr>
          <w:rFonts w:hint="eastAsia" w:ascii="宋体" w:hAnsi="宋体" w:eastAsia="宋体" w:cs="宋体"/>
          <w:color w:val="000000"/>
          <w:sz w:val="24"/>
          <w:szCs w:val="24"/>
          <w:lang w:val="en-US" w:eastAsia="zh-CN"/>
        </w:rPr>
        <w:t>本次采购量为预估量，最终结算按每次实际采购量计，每次供货完毕并经验收合格后，收到卖方相应的增值税专用发票后30天内支付该批订单的90%货款，合同期内所供货物的余款10%于合同期结束满2年后，经采购方认可后一次性结清。</w:t>
      </w:r>
    </w:p>
    <w:p w14:paraId="4E6A7AD0">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注：卖方申请付款的程序应符合买方的财务规定。</w:t>
      </w:r>
    </w:p>
    <w:p w14:paraId="06787DD2">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sz w:val="24"/>
          <w:szCs w:val="24"/>
        </w:rPr>
      </w:pPr>
      <w:r>
        <w:rPr>
          <w:rFonts w:hint="eastAsia" w:ascii="宋体" w:hAnsi="宋体" w:eastAsia="宋体" w:cs="宋体"/>
          <w:b/>
          <w:bCs/>
          <w:sz w:val="24"/>
          <w:szCs w:val="24"/>
        </w:rPr>
        <w:t>履约保证金：</w:t>
      </w:r>
    </w:p>
    <w:p w14:paraId="2F1DEA2C">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）本项目中标后的履约保证金为项目成交价的</w:t>
      </w:r>
      <w:r>
        <w:rPr>
          <w:rFonts w:hint="default" w:ascii="宋体" w:hAnsi="宋体" w:eastAsia="宋体" w:cs="宋体"/>
          <w:color w:val="000000"/>
          <w:sz w:val="24"/>
          <w:szCs w:val="24"/>
          <w:lang w:val="en-US" w:eastAsia="zh-CN"/>
        </w:rPr>
        <w:t>10%</w:t>
      </w:r>
      <w:r>
        <w:rPr>
          <w:rFonts w:hint="eastAsia" w:ascii="宋体" w:hAnsi="宋体" w:eastAsia="宋体" w:cs="宋体"/>
          <w:color w:val="000000"/>
          <w:sz w:val="24"/>
          <w:szCs w:val="24"/>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000000"/>
          <w:sz w:val="24"/>
          <w:szCs w:val="24"/>
          <w:lang w:val="en-US" w:eastAsia="zh-CN"/>
        </w:rPr>
        <w:t>元），供货方的履约保证金须在成交通知书发出之日起至合同签订前汇入采购方账户（应当以数字人民币、银行转账、网银、电汇、支票、本票、汇票、银行保函、保险保函等形式提交），</w:t>
      </w:r>
      <w:r>
        <w:rPr>
          <w:rFonts w:hint="eastAsia" w:ascii="宋体" w:hAnsi="宋体" w:cs="宋体"/>
          <w:color w:val="auto"/>
          <w:sz w:val="24"/>
          <w:szCs w:val="24"/>
          <w:highlight w:val="none"/>
          <w:lang w:val="en-US" w:eastAsia="zh-CN"/>
        </w:rPr>
        <w:t>供货方应当在中标通知书发出之日起30日内，凭中标通知书和履约保证金缴纳凭证，和采购方订立书面合同。供货方在中标通知书发出之日起30日内不与采购方签订合同的，视为自动放弃中标资格</w:t>
      </w:r>
      <w:r>
        <w:rPr>
          <w:rFonts w:hint="eastAsia" w:ascii="宋体" w:hAnsi="宋体" w:eastAsia="宋体" w:cs="宋体"/>
          <w:color w:val="000000"/>
          <w:sz w:val="24"/>
          <w:szCs w:val="24"/>
          <w:lang w:val="en-US" w:eastAsia="zh-CN"/>
        </w:rPr>
        <w:t>。</w:t>
      </w:r>
    </w:p>
    <w:p w14:paraId="251580A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2</w:t>
      </w:r>
      <w:r>
        <w:rPr>
          <w:rFonts w:hint="eastAsia" w:ascii="宋体" w:hAnsi="宋体" w:eastAsia="宋体" w:cs="宋体"/>
          <w:color w:val="000000"/>
          <w:sz w:val="24"/>
          <w:szCs w:val="24"/>
          <w:lang w:val="en-US" w:eastAsia="zh-CN"/>
        </w:rPr>
        <w:t>）供货方全部履约合同义务，经采购方验收合格无质量、进度等问题的，采购方在验收合格后一次性退还履约保证金。</w:t>
      </w:r>
    </w:p>
    <w:p w14:paraId="3D9010F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3</w:t>
      </w:r>
      <w:r>
        <w:rPr>
          <w:rFonts w:hint="eastAsia" w:ascii="宋体" w:hAnsi="宋体" w:eastAsia="宋体" w:cs="宋体"/>
          <w:color w:val="000000"/>
          <w:sz w:val="24"/>
          <w:szCs w:val="24"/>
          <w:lang w:val="en-US" w:eastAsia="zh-CN"/>
        </w:rPr>
        <w:t>）发生以下情况的，履约保证金不予退还或部分退还：</w:t>
      </w:r>
    </w:p>
    <w:p w14:paraId="603A9107">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w:t>
      </w:r>
      <w:r>
        <w:rPr>
          <w:rFonts w:hint="eastAsia" w:ascii="宋体" w:hAnsi="宋体" w:eastAsia="宋体" w:cs="宋体"/>
          <w:color w:val="000000"/>
          <w:sz w:val="24"/>
          <w:szCs w:val="24"/>
          <w:lang w:val="en-US" w:eastAsia="zh-CN"/>
        </w:rPr>
        <w:t>签订合同后，供货方不履行合同义务的，采购方有权全额扣除履约保证金，全额不予退还，同时采购方亦有权终止合同，供货方还须承担相应的法律赔偿责任。</w:t>
      </w:r>
    </w:p>
    <w:p w14:paraId="601853B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b.</w:t>
      </w:r>
      <w:r>
        <w:rPr>
          <w:rFonts w:hint="eastAsia" w:ascii="宋体" w:hAnsi="宋体" w:eastAsia="宋体" w:cs="宋体"/>
          <w:color w:val="000000"/>
          <w:sz w:val="24"/>
          <w:szCs w:val="24"/>
          <w:lang w:val="en-US" w:eastAsia="zh-CN"/>
        </w:rPr>
        <w:t>供货方在履约过程中发生违约行为，给采购方造成损失的，采购方有权在供货方缴纳的履约保证金中予以扣款，以弥补采购方经济损失，不足的部分供货方另外补齐。</w:t>
      </w:r>
    </w:p>
    <w:p w14:paraId="6EBDC0D6">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5.交货日期、地点：</w:t>
      </w:r>
    </w:p>
    <w:p w14:paraId="044EEFC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合同交货期为供货方接到采购方通知一周之内或根据采购方订单要求的时间内完成送货及安装 ，以最后一批货物到达指定到货地点开箱验收后为准。交货地点：</w:t>
      </w:r>
      <w:r>
        <w:rPr>
          <w:rFonts w:hint="eastAsia" w:ascii="宋体" w:hAnsi="宋体" w:eastAsia="宋体" w:cs="宋体"/>
          <w:bCs/>
          <w:color w:val="000000"/>
          <w:sz w:val="24"/>
          <w:szCs w:val="24"/>
          <w:lang w:val="en-US" w:eastAsia="zh-CN"/>
        </w:rPr>
        <w:t>运输并卸货至采购</w:t>
      </w:r>
      <w:r>
        <w:rPr>
          <w:rFonts w:hint="eastAsia" w:ascii="宋体" w:hAnsi="宋体" w:cs="宋体"/>
          <w:bCs/>
          <w:color w:val="000000"/>
          <w:sz w:val="24"/>
          <w:szCs w:val="24"/>
          <w:lang w:val="en-US" w:eastAsia="zh-CN"/>
        </w:rPr>
        <w:t>方</w:t>
      </w:r>
      <w:r>
        <w:rPr>
          <w:rFonts w:hint="eastAsia" w:ascii="宋体" w:hAnsi="宋体" w:eastAsia="宋体" w:cs="宋体"/>
          <w:bCs/>
          <w:color w:val="000000"/>
          <w:sz w:val="24"/>
          <w:szCs w:val="24"/>
          <w:lang w:val="en-US" w:eastAsia="zh-CN"/>
        </w:rPr>
        <w:t>指定地点，并指导安装</w:t>
      </w:r>
      <w:r>
        <w:rPr>
          <w:rFonts w:hint="eastAsia" w:ascii="宋体" w:hAnsi="宋体" w:eastAsia="宋体" w:cs="宋体"/>
          <w:bCs/>
          <w:color w:val="000000"/>
          <w:sz w:val="24"/>
          <w:szCs w:val="24"/>
        </w:rPr>
        <w:t>；供货方负责货物运输，供货方发货后24小时内，应将该货物规格数量、运输方式及发货日期，以传真方式通知采购方，以便做好接货工作。</w:t>
      </w:r>
    </w:p>
    <w:p w14:paraId="4B6949DE">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6.包装与运输：</w:t>
      </w:r>
    </w:p>
    <w:p w14:paraId="4A694E9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6.1设备包装应按国家标准或部颁标准执行。由于包装不善引起的货物锈蚀、损坏和减少均由供货方承担；发货同时应附一份详细清单和质量合格证；</w:t>
      </w:r>
    </w:p>
    <w:p w14:paraId="40CE255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6.2供货方安排运输并承担全部运输费用和货物在途的运输风险以及运输所导致的事故责任。</w:t>
      </w:r>
    </w:p>
    <w:p w14:paraId="14E8911D">
      <w:pPr>
        <w:pStyle w:val="2"/>
        <w:keepNext w:val="0"/>
        <w:keepLines w:val="0"/>
        <w:pageBreakBefore w:val="0"/>
        <w:widowControl w:val="0"/>
        <w:kinsoku/>
        <w:wordWrap/>
        <w:overflowPunct/>
        <w:topLinePunct w:val="0"/>
        <w:autoSpaceDE/>
        <w:autoSpaceDN/>
        <w:bidi w:val="0"/>
        <w:spacing w:after="0"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color w:val="000000"/>
          <w:sz w:val="24"/>
          <w:szCs w:val="24"/>
        </w:rPr>
        <w:t>6.3卸货过程中造成的货物破损、安全责任事故等多种情况均由供货方承担所有责任与赔偿。</w:t>
      </w:r>
    </w:p>
    <w:p w14:paraId="234B6D76">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7.保险：</w:t>
      </w:r>
      <w:r>
        <w:rPr>
          <w:rFonts w:hint="eastAsia" w:ascii="宋体" w:hAnsi="宋体" w:eastAsia="宋体" w:cs="宋体"/>
          <w:color w:val="000000"/>
          <w:sz w:val="24"/>
          <w:szCs w:val="24"/>
        </w:rPr>
        <w:t>货物本身及运输由供货方办理保险，其费用由供货方承担。</w:t>
      </w:r>
    </w:p>
    <w:p w14:paraId="6341DAC1">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 质保期及售后服务</w:t>
      </w:r>
    </w:p>
    <w:p w14:paraId="4CC98F5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8.1质保期：自采购方对当批货物验收合格且正式正常运行之日起</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2 </w:t>
      </w:r>
      <w:r>
        <w:rPr>
          <w:rFonts w:hint="eastAsia" w:ascii="宋体" w:hAnsi="宋体" w:eastAsia="宋体" w:cs="宋体"/>
          <w:color w:val="000000"/>
          <w:sz w:val="24"/>
          <w:szCs w:val="24"/>
        </w:rPr>
        <w:t>年（质保期及免费维保期在标书中注明）</w:t>
      </w:r>
      <w:r>
        <w:rPr>
          <w:rFonts w:hint="eastAsia" w:ascii="宋体" w:hAnsi="宋体" w:eastAsia="宋体" w:cs="宋体"/>
          <w:color w:val="000000"/>
          <w:sz w:val="24"/>
          <w:szCs w:val="24"/>
          <w:lang w:val="en-US" w:eastAsia="zh-CN"/>
        </w:rPr>
        <w:t>（原厂质保期高于供货方承诺质保期的，按原厂质保期计算。自验收合格报告签字确认日起，开始进入质保期）</w:t>
      </w:r>
      <w:r>
        <w:rPr>
          <w:rFonts w:hint="eastAsia" w:ascii="宋体" w:hAnsi="宋体" w:eastAsia="宋体" w:cs="宋体"/>
          <w:color w:val="000000"/>
          <w:sz w:val="24"/>
          <w:szCs w:val="24"/>
        </w:rPr>
        <w:t>。</w:t>
      </w:r>
    </w:p>
    <w:p w14:paraId="0F643D19">
      <w:pPr>
        <w:keepNext w:val="0"/>
        <w:keepLines w:val="0"/>
        <w:pageBreakBefore w:val="0"/>
        <w:widowControl w:val="0"/>
        <w:kinsoku/>
        <w:wordWrap/>
        <w:overflowPunct/>
        <w:topLinePunct w:val="0"/>
        <w:autoSpaceDE/>
        <w:autoSpaceDN/>
        <w:bidi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color w:val="000000"/>
          <w:sz w:val="24"/>
          <w:szCs w:val="24"/>
        </w:rPr>
        <w:t>8.2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w:t>
      </w:r>
      <w:r>
        <w:rPr>
          <w:rFonts w:hint="eastAsia" w:ascii="宋体" w:hAnsi="宋体" w:eastAsia="宋体" w:cs="宋体"/>
          <w:color w:val="000000"/>
          <w:sz w:val="24"/>
          <w:szCs w:val="24"/>
          <w:lang w:val="en-US" w:eastAsia="zh-CN"/>
        </w:rPr>
        <w:t>如保证金不够支持本次损失费用，采购方有权向供货方索赔，且视材料等产生的质量问题对水司造成严重社会负面影响或较大经济损失的将列入黑名单，以后将不得再参与启东水司的采购项目。</w:t>
      </w:r>
    </w:p>
    <w:p w14:paraId="4E1FE77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8.3质保期满后，出现故障时，供货方仍应按上述时限派人员赶到采购方现场，帮助排除故障、修复或更换零部件；其余按维保协议执行。</w:t>
      </w:r>
    </w:p>
    <w:p w14:paraId="43F270A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8.4供货方应提供货物的最低使用年限【</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】年，在此期间内，不应发生非人为操作原因的重大故障，否则，采购方有权追溯供货方的责任。</w:t>
      </w:r>
    </w:p>
    <w:p w14:paraId="6F150828">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9.违约责任：</w:t>
      </w:r>
    </w:p>
    <w:p w14:paraId="078B2725">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9.1由于不可抗拒力的原因造成无法及时供货或足量供货，双方可协商解决。违约方承担违约责任，由于法律规定的不可抗力事件造成的无法履约不承担违约责任。</w:t>
      </w:r>
    </w:p>
    <w:p w14:paraId="6AE8E95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9.2在合同期内价格一律不得变动。因价格上涨供货方执意不发货，造成采购方的一切损失（含违约责任）由供货方全部承担，并没收合同履约保证金。</w:t>
      </w:r>
    </w:p>
    <w:p w14:paraId="47EED2E6">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00CB65EB">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sz w:val="24"/>
          <w:szCs w:val="24"/>
        </w:rPr>
      </w:pPr>
      <w:r>
        <w:rPr>
          <w:rFonts w:hint="eastAsia" w:ascii="宋体" w:hAnsi="宋体" w:eastAsia="宋体" w:cs="宋体"/>
          <w:color w:val="000000"/>
          <w:kern w:val="2"/>
          <w:sz w:val="24"/>
          <w:szCs w:val="24"/>
        </w:rPr>
        <w:t xml:space="preserve">   9.4若供货方提交的产品不符合合同要求的，供货方应在采购方要求的时间内重新提交，逾期仍未提交或者提交的产品仍不符合合同要求的，采购方有权终止本合同，没收全额履约保证金，并有权要求供货方承</w:t>
      </w:r>
      <w:r>
        <w:rPr>
          <w:rFonts w:hint="eastAsia" w:ascii="宋体" w:hAnsi="宋体" w:eastAsia="宋体" w:cs="宋体"/>
          <w:color w:val="000000"/>
          <w:sz w:val="24"/>
          <w:szCs w:val="24"/>
        </w:rPr>
        <w:t>担该笔订单金额的30%作为违约金。</w:t>
      </w:r>
    </w:p>
    <w:p w14:paraId="1BDCC29D">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9.5供货方在货到现场时必须通知采购方，待验收合格后方可交付。</w:t>
      </w:r>
    </w:p>
    <w:p w14:paraId="451AD8A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9.6供货方不能交货或不能按标书要求满足采购方技术要求，给采购方造成损失的，供货方还应双倍返还采购方支付的货款。同时采购方保留对供货方追究由此而造成的一切经济损失。</w:t>
      </w:r>
    </w:p>
    <w:p w14:paraId="4983F818">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10.合同的解除和变更</w:t>
      </w:r>
    </w:p>
    <w:p w14:paraId="626BABBA">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10.1合同生效后，双方应按照合同约定的条款共同遵守，不得随意解除或变更。若确需解除或变更合同时，要求变更的一方应及时通知对方，对方在接到通知15日内给予答复，逾期未答复则视为已同意。</w:t>
      </w:r>
    </w:p>
    <w:p w14:paraId="16B4C37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10.2变更或解除合同，非采购方原因，所造成的损失由供货方负责。</w:t>
      </w:r>
    </w:p>
    <w:p w14:paraId="66280BB4">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二、技术条款</w:t>
      </w:r>
    </w:p>
    <w:p w14:paraId="4DC6F79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验收要求：</w:t>
      </w:r>
    </w:p>
    <w:p w14:paraId="6FDC1E7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1.1供货方</w:t>
      </w:r>
      <w:r>
        <w:rPr>
          <w:rFonts w:hint="eastAsia" w:ascii="宋体" w:hAnsi="宋体" w:eastAsia="宋体" w:cs="宋体"/>
          <w:bCs/>
          <w:color w:val="000000"/>
          <w:sz w:val="24"/>
          <w:szCs w:val="24"/>
          <w:highlight w:val="none"/>
          <w:lang w:val="en-US" w:eastAsia="zh-CN"/>
        </w:rPr>
        <w:t>签订合同后在</w:t>
      </w:r>
      <w:r>
        <w:rPr>
          <w:rFonts w:hint="eastAsia" w:ascii="宋体" w:hAnsi="宋体" w:cs="宋体"/>
          <w:bCs/>
          <w:color w:val="000000"/>
          <w:sz w:val="24"/>
          <w:szCs w:val="24"/>
          <w:highlight w:val="none"/>
          <w:lang w:val="en-US" w:eastAsia="zh-CN"/>
        </w:rPr>
        <w:t>采购方</w:t>
      </w:r>
      <w:r>
        <w:rPr>
          <w:rFonts w:hint="eastAsia" w:ascii="宋体" w:hAnsi="宋体" w:eastAsia="宋体" w:cs="宋体"/>
          <w:bCs/>
          <w:color w:val="000000"/>
          <w:sz w:val="24"/>
          <w:szCs w:val="24"/>
          <w:highlight w:val="none"/>
          <w:lang w:val="en-US" w:eastAsia="zh-CN"/>
        </w:rPr>
        <w:t>规定的时间内，必须将符合招标文件要求的所有合格货物送到指定地点，由</w:t>
      </w:r>
      <w:r>
        <w:rPr>
          <w:rFonts w:hint="eastAsia" w:ascii="宋体" w:hAnsi="宋体" w:cs="宋体"/>
          <w:bCs/>
          <w:color w:val="000000"/>
          <w:sz w:val="24"/>
          <w:szCs w:val="24"/>
          <w:highlight w:val="none"/>
          <w:lang w:val="en-US" w:eastAsia="zh-CN"/>
        </w:rPr>
        <w:t>采购方</w:t>
      </w:r>
      <w:r>
        <w:rPr>
          <w:rFonts w:hint="eastAsia" w:ascii="宋体" w:hAnsi="宋体" w:eastAsia="宋体" w:cs="宋体"/>
          <w:bCs/>
          <w:color w:val="000000"/>
          <w:sz w:val="24"/>
          <w:szCs w:val="24"/>
          <w:highlight w:val="none"/>
          <w:lang w:val="en-US" w:eastAsia="zh-CN"/>
        </w:rPr>
        <w:t>相关人员对所供货物进行数量清点和外观检查，并且对货物进行抽样送检，抽检频率为每种货物一年不少于四次，时间根据采购批次不定期抽检，货物每次型号随机抽取一组样品送检，相关送检费用由</w:t>
      </w:r>
      <w:r>
        <w:rPr>
          <w:rFonts w:hint="eastAsia" w:ascii="宋体" w:hAnsi="宋体" w:cs="宋体"/>
          <w:bCs/>
          <w:color w:val="000000"/>
          <w:sz w:val="24"/>
          <w:szCs w:val="24"/>
          <w:highlight w:val="none"/>
          <w:lang w:val="en-US" w:eastAsia="zh-CN"/>
        </w:rPr>
        <w:t>供货方</w:t>
      </w:r>
      <w:r>
        <w:rPr>
          <w:rFonts w:hint="eastAsia" w:ascii="宋体" w:hAnsi="宋体" w:eastAsia="宋体" w:cs="宋体"/>
          <w:bCs/>
          <w:color w:val="000000"/>
          <w:sz w:val="24"/>
          <w:szCs w:val="24"/>
          <w:highlight w:val="none"/>
          <w:lang w:val="en-US" w:eastAsia="zh-CN"/>
        </w:rPr>
        <w:t>承担。必要时，采购</w:t>
      </w:r>
      <w:r>
        <w:rPr>
          <w:rFonts w:hint="eastAsia" w:ascii="宋体" w:hAnsi="宋体" w:cs="宋体"/>
          <w:bCs/>
          <w:color w:val="000000"/>
          <w:sz w:val="24"/>
          <w:szCs w:val="24"/>
          <w:highlight w:val="none"/>
          <w:lang w:val="en-US" w:eastAsia="zh-CN"/>
        </w:rPr>
        <w:t>方</w:t>
      </w:r>
      <w:r>
        <w:rPr>
          <w:rFonts w:hint="eastAsia" w:ascii="宋体" w:hAnsi="宋体" w:eastAsia="宋体" w:cs="宋体"/>
          <w:bCs/>
          <w:color w:val="000000"/>
          <w:sz w:val="24"/>
          <w:szCs w:val="24"/>
          <w:highlight w:val="none"/>
          <w:lang w:val="en-US" w:eastAsia="zh-CN"/>
        </w:rPr>
        <w:t>可邀请相关质量监督部门或第三方检测单位对</w:t>
      </w:r>
      <w:r>
        <w:rPr>
          <w:rFonts w:hint="eastAsia" w:ascii="宋体" w:hAnsi="宋体" w:cs="宋体"/>
          <w:bCs/>
          <w:color w:val="000000"/>
          <w:sz w:val="24"/>
          <w:szCs w:val="24"/>
          <w:highlight w:val="none"/>
          <w:lang w:val="en-US" w:eastAsia="zh-CN"/>
        </w:rPr>
        <w:t>供货方</w:t>
      </w:r>
      <w:r>
        <w:rPr>
          <w:rFonts w:hint="eastAsia" w:ascii="宋体" w:hAnsi="宋体" w:eastAsia="宋体" w:cs="宋体"/>
          <w:bCs/>
          <w:color w:val="000000"/>
          <w:sz w:val="24"/>
          <w:szCs w:val="24"/>
          <w:highlight w:val="none"/>
          <w:lang w:val="en-US" w:eastAsia="zh-CN"/>
        </w:rPr>
        <w:t>所供货物进行验收及检测，检测费用由</w:t>
      </w:r>
      <w:r>
        <w:rPr>
          <w:rFonts w:hint="eastAsia" w:ascii="宋体" w:hAnsi="宋体" w:cs="宋体"/>
          <w:bCs/>
          <w:color w:val="000000"/>
          <w:sz w:val="24"/>
          <w:szCs w:val="24"/>
          <w:highlight w:val="none"/>
          <w:lang w:val="en-US" w:eastAsia="zh-CN"/>
        </w:rPr>
        <w:t>供货方</w:t>
      </w:r>
      <w:r>
        <w:rPr>
          <w:rFonts w:hint="eastAsia" w:ascii="宋体" w:hAnsi="宋体" w:eastAsia="宋体" w:cs="宋体"/>
          <w:bCs/>
          <w:color w:val="000000"/>
          <w:sz w:val="24"/>
          <w:szCs w:val="24"/>
          <w:highlight w:val="none"/>
          <w:lang w:val="en-US" w:eastAsia="zh-CN"/>
        </w:rPr>
        <w:t>负责，如验收或检测发现所供货物不合格，视为验收不合格，终止合同履行，履约保证金不予退还。</w:t>
      </w:r>
    </w:p>
    <w:p w14:paraId="06CAE24D">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1.2如供货方不能按时到达现场，又无函电通知时，采购方有权检验，并对缺件、质量损坏情况做出记录，供货方应认可并负责处理。</w:t>
      </w:r>
    </w:p>
    <w:p w14:paraId="37944DC0">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2.技术支持及售后服务：</w:t>
      </w:r>
    </w:p>
    <w:p w14:paraId="049596F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2.1供货方必须向采购方承诺技术后援支持。供货方必须合约期及质保期内提供免费的技术支持，并对采购方人员进行培训。保修期满后供货方应继续提供相关技术服务。</w:t>
      </w:r>
    </w:p>
    <w:p w14:paraId="646DD527">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sz w:val="24"/>
          <w:szCs w:val="24"/>
        </w:rPr>
      </w:pPr>
      <w:r>
        <w:rPr>
          <w:rFonts w:hint="eastAsia" w:ascii="宋体" w:hAnsi="宋体" w:eastAsia="宋体" w:cs="宋体"/>
          <w:color w:val="000000"/>
          <w:sz w:val="24"/>
          <w:szCs w:val="24"/>
        </w:rPr>
        <w:t>2.2供货方必须履行其投标书中的售后服务承诺。</w:t>
      </w:r>
    </w:p>
    <w:p w14:paraId="6D6D6F89">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三、合同生效及其它</w:t>
      </w:r>
    </w:p>
    <w:p w14:paraId="10B2865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Cs/>
          <w:color w:val="000000"/>
          <w:sz w:val="24"/>
          <w:szCs w:val="24"/>
        </w:rPr>
        <w:t xml:space="preserve"> 本合同有效</w:t>
      </w:r>
      <w:r>
        <w:rPr>
          <w:rFonts w:hint="eastAsia" w:ascii="宋体" w:hAnsi="宋体" w:eastAsia="宋体" w:cs="宋体"/>
          <w:bCs/>
          <w:color w:val="auto"/>
          <w:sz w:val="24"/>
          <w:szCs w:val="24"/>
        </w:rPr>
        <w:t>期为</w:t>
      </w:r>
      <w:r>
        <w:rPr>
          <w:rFonts w:hint="eastAsia" w:ascii="宋体" w:hAnsi="宋体" w:cs="宋体"/>
          <w:bCs/>
          <w:color w:val="auto"/>
          <w:sz w:val="24"/>
          <w:szCs w:val="24"/>
          <w:highlight w:val="none"/>
          <w:lang w:val="en-US" w:eastAsia="zh-CN"/>
        </w:rPr>
        <w:t>2025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日至</w:t>
      </w:r>
      <w:r>
        <w:rPr>
          <w:rFonts w:hint="eastAsia" w:ascii="宋体" w:hAnsi="宋体" w:cs="宋体"/>
          <w:bCs/>
          <w:color w:val="auto"/>
          <w:sz w:val="24"/>
          <w:szCs w:val="24"/>
          <w:highlight w:val="none"/>
          <w:lang w:val="en-US" w:eastAsia="zh-CN"/>
        </w:rPr>
        <w:t>2026</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rPr>
        <w:t>；</w:t>
      </w:r>
      <w:r>
        <w:rPr>
          <w:rFonts w:hint="eastAsia" w:ascii="宋体" w:hAnsi="宋体" w:eastAsia="宋体" w:cs="宋体"/>
          <w:color w:val="auto"/>
          <w:sz w:val="24"/>
          <w:szCs w:val="24"/>
        </w:rPr>
        <w:t>合同经双</w:t>
      </w:r>
      <w:r>
        <w:rPr>
          <w:rFonts w:hint="eastAsia" w:ascii="宋体" w:hAnsi="宋体" w:eastAsia="宋体" w:cs="宋体"/>
          <w:color w:val="000000"/>
          <w:sz w:val="24"/>
          <w:szCs w:val="24"/>
        </w:rPr>
        <w:t>方代表签字并加盖单位公章后，即行生效。</w:t>
      </w:r>
    </w:p>
    <w:p w14:paraId="6B21B8BC">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2.合同生效后，买卖双方都应严格履行合同，如出现问题双方应积极协商解决，协商不成则向采购方所在地法院提起诉讼。</w:t>
      </w:r>
    </w:p>
    <w:p w14:paraId="416B98E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3.合同在执行过程中出现的未尽事宜，双方在不违背招标文件的原则下，协商解决。协商结果以“补充协议”方式作为合同的附件，与合同具有同等效力。</w:t>
      </w:r>
    </w:p>
    <w:p w14:paraId="58BDD975">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4.招标文件、投标书和投标书附件、中标通知书均为合同不可分割部分。</w:t>
      </w:r>
    </w:p>
    <w:p w14:paraId="49FEF1E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5.本合同一式六份，买方四份，卖方两份，均具有同等法律效力。</w:t>
      </w:r>
    </w:p>
    <w:tbl>
      <w:tblPr>
        <w:tblStyle w:val="7"/>
        <w:tblpPr w:leftFromText="180" w:rightFromText="180" w:vertAnchor="text" w:horzAnchor="page" w:tblpXSpec="center" w:tblpY="321"/>
        <w:tblOverlap w:val="never"/>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660"/>
      </w:tblGrid>
      <w:tr w14:paraId="54C9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7" w:hRule="atLeast"/>
          <w:jc w:val="center"/>
        </w:trPr>
        <w:tc>
          <w:tcPr>
            <w:tcW w:w="4598" w:type="dxa"/>
            <w:noWrap/>
            <w:vAlign w:val="top"/>
          </w:tcPr>
          <w:p w14:paraId="6730827E">
            <w:pPr>
              <w:spacing w:line="360" w:lineRule="auto"/>
              <w:rPr>
                <w:rFonts w:hint="eastAsia" w:ascii="宋体" w:hAnsi="宋体" w:eastAsia="宋体" w:cs="宋体"/>
                <w:color w:val="auto"/>
                <w:sz w:val="24"/>
              </w:rPr>
            </w:pPr>
            <w:r>
              <w:rPr>
                <w:rFonts w:hint="eastAsia" w:ascii="宋体" w:hAnsi="宋体" w:eastAsia="宋体" w:cs="宋体"/>
                <w:color w:val="auto"/>
                <w:sz w:val="24"/>
              </w:rPr>
              <w:t>采购方（章）：</w:t>
            </w:r>
          </w:p>
          <w:p w14:paraId="7695ABCB">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p>
          <w:p w14:paraId="1F725CAF">
            <w:pPr>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p>
          <w:p w14:paraId="37F41A1D">
            <w:pPr>
              <w:spacing w:line="360" w:lineRule="auto"/>
              <w:rPr>
                <w:rFonts w:hint="eastAsia" w:ascii="宋体" w:hAnsi="宋体" w:eastAsia="宋体" w:cs="宋体"/>
                <w:color w:val="auto"/>
                <w:sz w:val="24"/>
              </w:rPr>
            </w:pPr>
            <w:r>
              <w:rPr>
                <w:rFonts w:hint="eastAsia" w:ascii="宋体" w:hAnsi="宋体" w:eastAsia="宋体" w:cs="宋体"/>
                <w:color w:val="auto"/>
                <w:sz w:val="24"/>
              </w:rPr>
              <w:t>委托代理人：</w:t>
            </w:r>
          </w:p>
          <w:p w14:paraId="4EBAEC0E">
            <w:pPr>
              <w:spacing w:line="360" w:lineRule="auto"/>
              <w:rPr>
                <w:rFonts w:hint="eastAsia" w:ascii="宋体" w:hAnsi="宋体" w:eastAsia="宋体" w:cs="宋体"/>
                <w:color w:val="auto"/>
                <w:sz w:val="24"/>
              </w:rPr>
            </w:pPr>
            <w:r>
              <w:rPr>
                <w:rFonts w:hint="eastAsia" w:ascii="宋体" w:hAnsi="宋体" w:eastAsia="宋体" w:cs="宋体"/>
                <w:color w:val="auto"/>
                <w:sz w:val="24"/>
              </w:rPr>
              <w:t>日期：   年   月   日</w:t>
            </w:r>
          </w:p>
          <w:p w14:paraId="6EB791B0">
            <w:pPr>
              <w:spacing w:line="360" w:lineRule="auto"/>
              <w:rPr>
                <w:rFonts w:hint="eastAsia" w:ascii="宋体" w:hAnsi="宋体" w:eastAsia="宋体" w:cs="宋体"/>
                <w:color w:val="auto"/>
                <w:sz w:val="24"/>
              </w:rPr>
            </w:pPr>
            <w:r>
              <w:rPr>
                <w:rFonts w:hint="eastAsia" w:ascii="宋体" w:hAnsi="宋体" w:eastAsia="宋体" w:cs="宋体"/>
                <w:color w:val="auto"/>
                <w:sz w:val="24"/>
              </w:rPr>
              <w:t>税号：</w:t>
            </w:r>
          </w:p>
          <w:p w14:paraId="0D94DB2B">
            <w:pPr>
              <w:spacing w:line="360" w:lineRule="auto"/>
              <w:rPr>
                <w:rFonts w:hint="eastAsia" w:ascii="宋体" w:hAnsi="宋体" w:eastAsia="宋体" w:cs="宋体"/>
                <w:color w:val="auto"/>
                <w:sz w:val="24"/>
              </w:rPr>
            </w:pPr>
            <w:r>
              <w:rPr>
                <w:rFonts w:hint="eastAsia" w:ascii="宋体" w:hAnsi="宋体" w:eastAsia="宋体" w:cs="宋体"/>
                <w:color w:val="auto"/>
                <w:sz w:val="24"/>
              </w:rPr>
              <w:t>开户银行：</w:t>
            </w:r>
          </w:p>
          <w:p w14:paraId="25285A5E">
            <w:pPr>
              <w:spacing w:line="360" w:lineRule="auto"/>
              <w:rPr>
                <w:rFonts w:hint="eastAsia" w:ascii="宋体" w:hAnsi="宋体" w:eastAsia="宋体" w:cs="宋体"/>
                <w:color w:val="auto"/>
                <w:sz w:val="24"/>
              </w:rPr>
            </w:pPr>
            <w:r>
              <w:rPr>
                <w:rFonts w:hint="eastAsia" w:ascii="宋体" w:hAnsi="宋体" w:eastAsia="宋体" w:cs="宋体"/>
                <w:color w:val="auto"/>
                <w:sz w:val="24"/>
              </w:rPr>
              <w:t>账号：</w:t>
            </w:r>
          </w:p>
          <w:p w14:paraId="6643B7A4">
            <w:pPr>
              <w:spacing w:line="360" w:lineRule="auto"/>
              <w:rPr>
                <w:rFonts w:hint="eastAsia" w:ascii="宋体" w:hAnsi="宋体" w:eastAsia="宋体" w:cs="宋体"/>
                <w:color w:val="auto"/>
                <w:sz w:val="24"/>
              </w:rPr>
            </w:pPr>
            <w:r>
              <w:rPr>
                <w:rFonts w:hint="eastAsia" w:ascii="宋体" w:hAnsi="宋体" w:eastAsia="宋体" w:cs="宋体"/>
                <w:color w:val="auto"/>
                <w:sz w:val="24"/>
              </w:rPr>
              <w:t>电话：</w:t>
            </w:r>
          </w:p>
          <w:p w14:paraId="21BBB68B">
            <w:pPr>
              <w:spacing w:line="360" w:lineRule="auto"/>
              <w:rPr>
                <w:rFonts w:hint="eastAsia" w:ascii="宋体" w:hAnsi="宋体" w:eastAsia="宋体" w:cs="宋体"/>
                <w:color w:val="auto"/>
                <w:sz w:val="24"/>
              </w:rPr>
            </w:pPr>
            <w:r>
              <w:rPr>
                <w:rFonts w:hint="eastAsia" w:ascii="宋体" w:hAnsi="宋体" w:eastAsia="宋体" w:cs="宋体"/>
                <w:color w:val="auto"/>
                <w:sz w:val="24"/>
              </w:rPr>
              <w:t>传真：</w:t>
            </w:r>
          </w:p>
        </w:tc>
        <w:tc>
          <w:tcPr>
            <w:tcW w:w="4660" w:type="dxa"/>
            <w:noWrap/>
            <w:vAlign w:val="top"/>
          </w:tcPr>
          <w:p w14:paraId="08BA69DF">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供货方（章）：</w:t>
            </w:r>
          </w:p>
          <w:p w14:paraId="2ADA4F63">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z w:val="24"/>
              </w:rPr>
              <w:t>地址：</w:t>
            </w:r>
          </w:p>
          <w:p w14:paraId="092D061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法定代表人： </w:t>
            </w:r>
          </w:p>
          <w:p w14:paraId="7B126E5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委托代理人：       </w:t>
            </w:r>
          </w:p>
          <w:p w14:paraId="1376FC6C">
            <w:pPr>
              <w:spacing w:line="360" w:lineRule="auto"/>
              <w:rPr>
                <w:rFonts w:hint="eastAsia" w:ascii="宋体" w:hAnsi="宋体" w:eastAsia="宋体" w:cs="宋体"/>
                <w:color w:val="auto"/>
                <w:sz w:val="24"/>
              </w:rPr>
            </w:pPr>
            <w:r>
              <w:rPr>
                <w:rFonts w:hint="eastAsia" w:ascii="宋体" w:hAnsi="宋体" w:eastAsia="宋体" w:cs="宋体"/>
                <w:color w:val="auto"/>
                <w:sz w:val="24"/>
              </w:rPr>
              <w:t>日期：     年    月    日</w:t>
            </w:r>
          </w:p>
          <w:p w14:paraId="74158A34">
            <w:pPr>
              <w:spacing w:line="360" w:lineRule="auto"/>
              <w:rPr>
                <w:rFonts w:hint="eastAsia" w:ascii="宋体" w:hAnsi="宋体" w:eastAsia="宋体" w:cs="宋体"/>
                <w:color w:val="000000"/>
                <w:sz w:val="24"/>
              </w:rPr>
            </w:pPr>
            <w:r>
              <w:rPr>
                <w:rFonts w:hint="eastAsia" w:ascii="宋体" w:hAnsi="宋体" w:eastAsia="宋体" w:cs="宋体"/>
                <w:color w:val="000000"/>
                <w:sz w:val="24"/>
              </w:rPr>
              <w:t>税号：</w:t>
            </w:r>
          </w:p>
          <w:p w14:paraId="45A16CDC">
            <w:pPr>
              <w:spacing w:line="360" w:lineRule="auto"/>
              <w:rPr>
                <w:rFonts w:hint="eastAsia" w:ascii="宋体" w:hAnsi="宋体" w:eastAsia="宋体" w:cs="宋体"/>
                <w:color w:val="000000"/>
                <w:sz w:val="24"/>
              </w:rPr>
            </w:pPr>
            <w:r>
              <w:rPr>
                <w:rFonts w:hint="eastAsia" w:ascii="宋体" w:hAnsi="宋体" w:eastAsia="宋体" w:cs="宋体"/>
                <w:color w:val="000000"/>
                <w:sz w:val="24"/>
              </w:rPr>
              <w:t>开户银行：</w:t>
            </w:r>
          </w:p>
          <w:p w14:paraId="71F16964">
            <w:pPr>
              <w:spacing w:line="360" w:lineRule="auto"/>
              <w:rPr>
                <w:rFonts w:hint="eastAsia" w:ascii="宋体" w:hAnsi="宋体" w:eastAsia="宋体" w:cs="宋体"/>
                <w:color w:val="000000"/>
                <w:sz w:val="24"/>
              </w:rPr>
            </w:pPr>
            <w:r>
              <w:rPr>
                <w:rFonts w:hint="eastAsia" w:ascii="宋体" w:hAnsi="宋体" w:eastAsia="宋体" w:cs="宋体"/>
                <w:color w:val="000000"/>
                <w:sz w:val="24"/>
              </w:rPr>
              <w:t>账号：</w:t>
            </w:r>
          </w:p>
          <w:p w14:paraId="1110DDE4">
            <w:pPr>
              <w:spacing w:line="360" w:lineRule="auto"/>
              <w:rPr>
                <w:rFonts w:hint="eastAsia" w:ascii="宋体" w:hAnsi="宋体" w:eastAsia="宋体" w:cs="宋体"/>
                <w:color w:val="000000"/>
                <w:sz w:val="24"/>
              </w:rPr>
            </w:pPr>
            <w:r>
              <w:rPr>
                <w:rFonts w:hint="eastAsia" w:ascii="宋体" w:hAnsi="宋体" w:eastAsia="宋体" w:cs="宋体"/>
                <w:color w:val="000000"/>
                <w:sz w:val="24"/>
              </w:rPr>
              <w:t>电话：</w:t>
            </w:r>
          </w:p>
          <w:p w14:paraId="472FD4CF">
            <w:pPr>
              <w:spacing w:line="360" w:lineRule="auto"/>
              <w:rPr>
                <w:rFonts w:hint="eastAsia" w:ascii="宋体" w:hAnsi="宋体" w:eastAsia="宋体" w:cs="宋体"/>
                <w:color w:val="auto"/>
                <w:sz w:val="24"/>
              </w:rPr>
            </w:pPr>
            <w:r>
              <w:rPr>
                <w:rFonts w:hint="eastAsia" w:ascii="宋体" w:hAnsi="宋体" w:eastAsia="宋体" w:cs="宋体"/>
                <w:color w:val="000000"/>
                <w:sz w:val="24"/>
              </w:rPr>
              <w:t xml:space="preserve">传真：      </w:t>
            </w:r>
            <w:r>
              <w:rPr>
                <w:rFonts w:hint="eastAsia" w:ascii="宋体" w:hAnsi="宋体" w:eastAsia="宋体" w:cs="宋体"/>
                <w:color w:val="auto"/>
                <w:sz w:val="24"/>
              </w:rPr>
              <w:t xml:space="preserve">    </w:t>
            </w:r>
          </w:p>
        </w:tc>
      </w:tr>
    </w:tbl>
    <w:p w14:paraId="6452FCC3"/>
    <w:p w14:paraId="46FB4D60"/>
    <w:p w14:paraId="1C68BF1D">
      <w:pPr>
        <w:spacing w:before="99" w:line="220" w:lineRule="auto"/>
        <w:ind w:left="2473"/>
        <w:outlineLvl w:val="2"/>
        <w:rPr>
          <w:rFonts w:ascii="宋体" w:hAnsi="宋体" w:eastAsia="宋体" w:cs="宋体"/>
          <w:color w:val="auto"/>
          <w:spacing w:val="-5"/>
          <w:sz w:val="36"/>
          <w:szCs w:val="36"/>
          <w:highlight w:val="none"/>
        </w:rPr>
        <w:sectPr>
          <w:headerReference r:id="rId12" w:type="default"/>
          <w:footerReference r:id="rId13"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3.法定代表人授权委托书、授权委托人（即代理人）身份证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2B8649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p>
    <w:p w14:paraId="3AF791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ascii="宋体" w:hAnsi="宋体" w:eastAsia="宋体" w:cs="宋体"/>
          <w:color w:val="auto"/>
          <w:spacing w:val="0"/>
          <w:sz w:val="28"/>
          <w:szCs w:val="28"/>
          <w:highlight w:val="none"/>
        </w:rPr>
        <w:t>5.</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b w:val="0"/>
          <w:bCs w:val="0"/>
          <w:color w:val="auto"/>
          <w:spacing w:val="0"/>
          <w:sz w:val="28"/>
          <w:szCs w:val="28"/>
          <w:highlight w:val="none"/>
          <w:lang w:val="en-US" w:eastAsia="zh-CN"/>
        </w:rPr>
        <w:t>(</w:t>
      </w:r>
      <w:r>
        <w:rPr>
          <w:rFonts w:hint="eastAsia" w:ascii="宋体" w:hAnsi="宋体" w:eastAsia="宋体" w:cs="宋体"/>
          <w:b w:val="0"/>
          <w:bCs w:val="0"/>
          <w:color w:val="auto"/>
          <w:spacing w:val="0"/>
          <w:sz w:val="28"/>
          <w:szCs w:val="28"/>
          <w:highlight w:val="none"/>
          <w:lang w:val="en-US" w:eastAsia="zh-CN"/>
        </w:rPr>
        <w:t>提供网页截图</w:t>
      </w:r>
      <w:r>
        <w:rPr>
          <w:rFonts w:hint="default" w:ascii="宋体" w:hAnsi="宋体" w:eastAsia="宋体" w:cs="宋体"/>
          <w:b w:val="0"/>
          <w:bCs w:val="0"/>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0CB2EA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rPr>
      </w:pPr>
      <w:r>
        <w:rPr>
          <w:rFonts w:hint="eastAsia" w:ascii="宋体" w:hAnsi="宋体" w:eastAsia="宋体" w:cs="宋体"/>
          <w:color w:val="auto"/>
          <w:spacing w:val="0"/>
          <w:sz w:val="28"/>
          <w:szCs w:val="28"/>
          <w:highlight w:val="none"/>
          <w:lang w:val="en-US" w:eastAsia="zh-CN"/>
        </w:rPr>
        <w:t>6.</w:t>
      </w:r>
      <w:r>
        <w:rPr>
          <w:rFonts w:hint="eastAsia" w:ascii="宋体" w:hAnsi="宋体" w:eastAsia="宋体" w:cs="宋体"/>
          <w:color w:val="auto"/>
          <w:spacing w:val="0"/>
          <w:sz w:val="28"/>
          <w:szCs w:val="28"/>
          <w:highlight w:val="none"/>
          <w:lang w:val="zh-CN" w:eastAsia="zh-CN"/>
        </w:rPr>
        <w:t>投标人需具有质量管理体系认证证书和环境管理体系认证证书（若为经销商的，则需提供投标品牌厂家的质量管理体系认证证书和环境管理体系认证证书</w:t>
      </w:r>
      <w:r>
        <w:rPr>
          <w:rFonts w:hint="eastAsia" w:ascii="宋体" w:hAnsi="宋体" w:eastAsia="宋体" w:cs="宋体"/>
          <w:b w:val="0"/>
          <w:bCs w:val="0"/>
          <w:color w:val="auto"/>
          <w:spacing w:val="0"/>
          <w:sz w:val="28"/>
          <w:szCs w:val="28"/>
          <w:highlight w:val="none"/>
          <w:lang w:val="zh-CN" w:eastAsia="zh-CN"/>
        </w:rPr>
        <w:t>原件扫描件加盖公章）</w:t>
      </w:r>
      <w:r>
        <w:rPr>
          <w:rFonts w:hint="eastAsia" w:ascii="宋体" w:hAnsi="宋体" w:eastAsia="宋体" w:cs="宋体"/>
          <w:color w:val="auto"/>
          <w:spacing w:val="0"/>
          <w:sz w:val="28"/>
          <w:szCs w:val="28"/>
          <w:highlight w:val="none"/>
          <w:lang w:val="zh-CN" w:eastAsia="zh-CN"/>
        </w:rPr>
        <w:t>，证书须在有效期内并覆盖本招标产品；</w:t>
      </w:r>
    </w:p>
    <w:p w14:paraId="63A7DD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7.</w:t>
      </w:r>
      <w:r>
        <w:rPr>
          <w:rFonts w:hint="eastAsia" w:ascii="宋体" w:hAnsi="宋体" w:eastAsia="宋体" w:cs="宋体"/>
          <w:color w:val="auto"/>
          <w:spacing w:val="0"/>
          <w:sz w:val="28"/>
          <w:szCs w:val="28"/>
          <w:highlight w:val="none"/>
          <w:lang w:val="zh-CN" w:eastAsia="zh-CN"/>
        </w:rPr>
        <w:t>投标人提供的投标货物具有有效的省级及以上质量检测中心出具的性能检验报告</w:t>
      </w:r>
      <w:r>
        <w:rPr>
          <w:rFonts w:hint="eastAsia" w:ascii="宋体" w:hAnsi="宋体" w:eastAsia="宋体" w:cs="宋体"/>
          <w:b w:val="0"/>
          <w:bCs w:val="0"/>
          <w:color w:val="auto"/>
          <w:spacing w:val="0"/>
          <w:sz w:val="28"/>
          <w:szCs w:val="28"/>
          <w:highlight w:val="none"/>
          <w:lang w:val="zh-CN" w:eastAsia="zh-CN"/>
        </w:rPr>
        <w:t>原件扫描件加盖公章；</w:t>
      </w:r>
    </w:p>
    <w:p w14:paraId="33B892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8.</w:t>
      </w:r>
      <w:r>
        <w:rPr>
          <w:rFonts w:hint="eastAsia" w:ascii="宋体" w:hAnsi="宋体" w:eastAsia="宋体" w:cs="宋体"/>
          <w:color w:val="auto"/>
          <w:spacing w:val="0"/>
          <w:sz w:val="28"/>
          <w:szCs w:val="28"/>
          <w:highlight w:val="none"/>
          <w:lang w:val="zh-CN" w:eastAsia="zh-CN"/>
        </w:rPr>
        <w:t>质保承诺书（格式见附件4）；</w:t>
      </w:r>
    </w:p>
    <w:p w14:paraId="5FD46A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b w:val="0"/>
          <w:bCs w:val="0"/>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9</w:t>
      </w:r>
      <w:r>
        <w:rPr>
          <w:rFonts w:hint="eastAsia" w:ascii="宋体" w:hAnsi="宋体" w:eastAsia="宋体" w:cs="宋体"/>
          <w:color w:val="auto"/>
          <w:spacing w:val="0"/>
          <w:sz w:val="28"/>
          <w:szCs w:val="28"/>
          <w:highlight w:val="none"/>
          <w:lang w:val="zh-CN" w:eastAsia="zh-CN"/>
        </w:rPr>
        <w:t>.供应商有自2023年1月1日以来（以合同签订时间为准）有类似的供货业绩</w:t>
      </w:r>
      <w:r>
        <w:rPr>
          <w:rFonts w:hint="eastAsia" w:ascii="宋体" w:hAnsi="宋体" w:eastAsia="宋体" w:cs="宋体"/>
          <w:b w:val="0"/>
          <w:bCs w:val="0"/>
          <w:color w:val="auto"/>
          <w:spacing w:val="0"/>
          <w:sz w:val="28"/>
          <w:szCs w:val="28"/>
          <w:highlight w:val="none"/>
          <w:lang w:val="zh-CN" w:eastAsia="zh-CN"/>
        </w:rPr>
        <w:t>（提供相对应的合同及公告发布之日前有效发票原件扫描件加盖公章）；</w:t>
      </w:r>
    </w:p>
    <w:p w14:paraId="7ECE92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10.</w:t>
      </w:r>
      <w:r>
        <w:rPr>
          <w:rFonts w:hint="eastAsia" w:ascii="宋体" w:hAnsi="宋体" w:eastAsia="宋体" w:cs="宋体"/>
          <w:color w:val="auto"/>
          <w:spacing w:val="0"/>
          <w:sz w:val="28"/>
          <w:szCs w:val="28"/>
          <w:highlight w:val="none"/>
          <w:lang w:val="zh-CN" w:eastAsia="zh-CN"/>
        </w:rPr>
        <w:t>报价货物采购要求响应表（格式见附件</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val="zh-CN" w:eastAsia="zh-CN"/>
        </w:rPr>
        <w:t>）；</w:t>
      </w:r>
    </w:p>
    <w:p w14:paraId="5F5112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11</w:t>
      </w:r>
      <w:r>
        <w:rPr>
          <w:rFonts w:hint="eastAsia" w:ascii="宋体" w:hAnsi="宋体" w:eastAsia="宋体" w:cs="宋体"/>
          <w:color w:val="auto"/>
          <w:spacing w:val="0"/>
          <w:sz w:val="28"/>
          <w:szCs w:val="28"/>
          <w:highlight w:val="none"/>
          <w:lang w:val="zh-CN" w:eastAsia="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二、价格标</w:t>
      </w:r>
    </w:p>
    <w:p w14:paraId="6B767C4A">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lang w:val="zh-CN"/>
        </w:rPr>
        <w:t>1.报价表（格式见附件</w:t>
      </w:r>
      <w:r>
        <w:rPr>
          <w:rFonts w:hint="eastAsia" w:asciiTheme="minorEastAsia" w:hAnsiTheme="minorEastAsia" w:eastAsiaTheme="minorEastAsia"/>
          <w:color w:val="auto"/>
          <w:kern w:val="0"/>
          <w:sz w:val="28"/>
          <w:szCs w:val="28"/>
          <w:lang w:val="en-US" w:eastAsia="zh-CN"/>
        </w:rPr>
        <w:t>6</w:t>
      </w:r>
      <w:r>
        <w:rPr>
          <w:rFonts w:hint="eastAsia" w:asciiTheme="minorEastAsia" w:hAnsiTheme="minorEastAsia" w:eastAsiaTheme="minorEastAsia"/>
          <w:color w:val="auto"/>
          <w:kern w:val="0"/>
          <w:sz w:val="28"/>
          <w:szCs w:val="28"/>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6F676299">
      <w:pPr>
        <w:spacing w:before="21" w:line="219" w:lineRule="auto"/>
        <w:ind w:left="692"/>
        <w:jc w:val="center"/>
        <w:outlineLvl w:val="2"/>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投标人符合</w:t>
      </w:r>
      <w:r>
        <w:rPr>
          <w:rFonts w:hint="eastAsia" w:ascii="宋体" w:hAnsi="宋体" w:eastAsia="宋体" w:cs="宋体"/>
          <w:b/>
          <w:bCs/>
          <w:color w:val="auto"/>
          <w:spacing w:val="-3"/>
          <w:sz w:val="30"/>
          <w:szCs w:val="30"/>
          <w:highlight w:val="none"/>
          <w:lang w:eastAsia="zh-CN"/>
        </w:rPr>
        <w:t>《中华人民共和国政府采购法》</w:t>
      </w:r>
      <w:r>
        <w:rPr>
          <w:rFonts w:ascii="宋体" w:hAnsi="宋体" w:eastAsia="宋体" w:cs="宋体"/>
          <w:b/>
          <w:bCs/>
          <w:color w:val="auto"/>
          <w:spacing w:val="-3"/>
          <w:sz w:val="30"/>
          <w:szCs w:val="30"/>
          <w:highlight w:val="none"/>
        </w:rPr>
        <w:t>第二十二条规定条件的声明函</w:t>
      </w:r>
    </w:p>
    <w:p w14:paraId="4D9D0824">
      <w:pPr>
        <w:pStyle w:val="2"/>
        <w:spacing w:line="288" w:lineRule="auto"/>
        <w:rPr>
          <w:color w:val="auto"/>
          <w:highlight w:val="none"/>
        </w:rPr>
      </w:pPr>
    </w:p>
    <w:p w14:paraId="1CEA0FEE">
      <w:pPr>
        <w:pStyle w:val="2"/>
        <w:spacing w:line="288" w:lineRule="auto"/>
        <w:rPr>
          <w:color w:val="auto"/>
          <w:highlight w:val="none"/>
        </w:rPr>
      </w:pPr>
    </w:p>
    <w:p w14:paraId="064F8A9F">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4"/>
          <w:sz w:val="24"/>
          <w:szCs w:val="24"/>
          <w:highlight w:val="none"/>
        </w:rPr>
        <w:t>我单位参加</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4"/>
          <w:sz w:val="24"/>
          <w:szCs w:val="24"/>
          <w:highlight w:val="none"/>
        </w:rPr>
        <w:t>（项目名称</w:t>
      </w:r>
      <w:r>
        <w:rPr>
          <w:rFonts w:ascii="宋体" w:hAnsi="宋体" w:eastAsia="宋体" w:cs="宋体"/>
          <w:color w:val="auto"/>
          <w:spacing w:val="-24"/>
          <w:sz w:val="24"/>
          <w:szCs w:val="24"/>
          <w:highlight w:val="none"/>
        </w:rPr>
        <w:t>）</w:t>
      </w:r>
      <w:r>
        <w:rPr>
          <w:rFonts w:ascii="宋体" w:hAnsi="宋体" w:eastAsia="宋体" w:cs="宋体"/>
          <w:color w:val="auto"/>
          <w:spacing w:val="1"/>
          <w:sz w:val="24"/>
          <w:szCs w:val="24"/>
          <w:highlight w:val="none"/>
        </w:rPr>
        <w:t xml:space="preserve">的投标活动。针对《中华人民共和国政府采购法》第二十二条规定做出如下声明： </w:t>
      </w:r>
    </w:p>
    <w:p w14:paraId="07A8C948">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1.我单位具有独立承担民事责任的能力；</w:t>
      </w:r>
    </w:p>
    <w:p w14:paraId="32FFA61E">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2.我单位具有良好的商业信誉和健全的财务会计制度； </w:t>
      </w:r>
    </w:p>
    <w:p w14:paraId="3314A7FA">
      <w:pPr>
        <w:spacing w:before="33" w:line="396" w:lineRule="auto"/>
        <w:ind w:firstLine="487"/>
        <w:jc w:val="both"/>
        <w:rPr>
          <w:rFonts w:ascii="宋体" w:hAnsi="宋体" w:eastAsia="宋体" w:cs="宋体"/>
          <w:color w:val="auto"/>
          <w:spacing w:val="-3"/>
          <w:sz w:val="24"/>
          <w:szCs w:val="24"/>
          <w:highlight w:val="none"/>
        </w:rPr>
      </w:pPr>
      <w:r>
        <w:rPr>
          <w:rFonts w:ascii="宋体" w:hAnsi="宋体" w:eastAsia="宋体" w:cs="宋体"/>
          <w:color w:val="auto"/>
          <w:spacing w:val="1"/>
          <w:sz w:val="24"/>
          <w:szCs w:val="24"/>
          <w:highlight w:val="none"/>
        </w:rPr>
        <w:t>3.我单位</w:t>
      </w:r>
      <w:r>
        <w:rPr>
          <w:rFonts w:ascii="宋体" w:hAnsi="宋体" w:eastAsia="宋体" w:cs="宋体"/>
          <w:color w:val="auto"/>
          <w:spacing w:val="-3"/>
          <w:sz w:val="24"/>
          <w:szCs w:val="24"/>
          <w:highlight w:val="none"/>
        </w:rPr>
        <w:t>具有履行合同所必需的设备和专业技术能力；</w:t>
      </w:r>
    </w:p>
    <w:p w14:paraId="1AAE128F">
      <w:pPr>
        <w:spacing w:before="33" w:line="396" w:lineRule="auto"/>
        <w:ind w:firstLine="48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4.我单位有依法缴纳税收和社会保障资金的良好记录；</w:t>
      </w:r>
    </w:p>
    <w:p w14:paraId="289835C6">
      <w:pPr>
        <w:spacing w:before="33" w:line="396" w:lineRule="auto"/>
        <w:ind w:firstLine="487"/>
        <w:jc w:val="both"/>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.我单位参加政府采购活动前三年内，在经营活动中没有重</w:t>
      </w:r>
      <w:r>
        <w:rPr>
          <w:rFonts w:ascii="宋体" w:hAnsi="宋体" w:eastAsia="宋体" w:cs="宋体"/>
          <w:color w:val="auto"/>
          <w:sz w:val="24"/>
          <w:szCs w:val="24"/>
          <w:highlight w:val="none"/>
        </w:rPr>
        <w:t>大违法记录</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 xml:space="preserve">1.供  </w:t>
      </w:r>
      <w:r>
        <w:rPr>
          <w:rFonts w:ascii="宋体" w:hAnsi="宋体" w:eastAsia="宋体" w:cs="宋体"/>
          <w:color w:val="auto"/>
          <w:spacing w:val="-1"/>
          <w:sz w:val="24"/>
          <w:szCs w:val="24"/>
          <w:highlight w:val="none"/>
        </w:rPr>
        <w:t>应商在参加政府采购活动前三年内因违法经营被禁止在一定期限内参加政府</w:t>
      </w:r>
      <w:r>
        <w:rPr>
          <w:rFonts w:ascii="宋体" w:hAnsi="宋体" w:eastAsia="宋体" w:cs="宋体"/>
          <w:color w:val="auto"/>
          <w:spacing w:val="-2"/>
          <w:sz w:val="24"/>
          <w:szCs w:val="24"/>
          <w:highlight w:val="none"/>
        </w:rPr>
        <w:t>采购活动，</w:t>
      </w:r>
      <w:r>
        <w:rPr>
          <w:rFonts w:ascii="宋体" w:hAnsi="宋体" w:eastAsia="宋体" w:cs="宋体"/>
          <w:color w:val="auto"/>
          <w:sz w:val="24"/>
          <w:szCs w:val="24"/>
          <w:highlight w:val="none"/>
        </w:rPr>
        <w:t xml:space="preserve"> 期限届满的，可以参加政府采购活动。2.《中华人民共和国政府采购法实施条例》第</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十九条第一款规定的“较大数额罚款”认定为</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200</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万元</w:t>
      </w:r>
      <w:r>
        <w:rPr>
          <w:rFonts w:ascii="宋体" w:hAnsi="宋体" w:eastAsia="宋体" w:cs="宋体"/>
          <w:color w:val="auto"/>
          <w:spacing w:val="-2"/>
          <w:sz w:val="24"/>
          <w:szCs w:val="24"/>
          <w:highlight w:val="none"/>
        </w:rPr>
        <w:t>以上的罚款，法律、行政法规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以及国务院有关部门明确规定相关领域“较大数额罚款”标准高于</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200</w:t>
      </w:r>
      <w:r>
        <w:rPr>
          <w:rFonts w:ascii="宋体" w:hAnsi="宋体" w:eastAsia="宋体" w:cs="宋体"/>
          <w:color w:val="auto"/>
          <w:spacing w:val="-32"/>
          <w:sz w:val="24"/>
          <w:szCs w:val="24"/>
          <w:highlight w:val="none"/>
        </w:rPr>
        <w:t xml:space="preserve"> </w:t>
      </w:r>
      <w:r>
        <w:rPr>
          <w:rFonts w:ascii="宋体" w:hAnsi="宋体" w:eastAsia="宋体" w:cs="宋体"/>
          <w:color w:val="auto"/>
          <w:spacing w:val="-1"/>
          <w:sz w:val="24"/>
          <w:szCs w:val="24"/>
          <w:highlight w:val="none"/>
        </w:rPr>
        <w:t>万元的，从其</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w:t>
      </w:r>
    </w:p>
    <w:p w14:paraId="76AF2AB3">
      <w:pPr>
        <w:spacing w:before="33" w:line="220" w:lineRule="auto"/>
        <w:ind w:left="48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2"/>
          <w:sz w:val="24"/>
          <w:szCs w:val="24"/>
          <w:highlight w:val="none"/>
        </w:rPr>
        <w:t>.我单位满足法律、行政法规规定的其他条</w:t>
      </w:r>
      <w:r>
        <w:rPr>
          <w:rFonts w:ascii="宋体" w:hAnsi="宋体" w:eastAsia="宋体" w:cs="宋体"/>
          <w:color w:val="auto"/>
          <w:spacing w:val="-3"/>
          <w:sz w:val="24"/>
          <w:szCs w:val="24"/>
          <w:highlight w:val="none"/>
        </w:rPr>
        <w:t>件。</w:t>
      </w:r>
    </w:p>
    <w:p w14:paraId="5AE08804">
      <w:pPr>
        <w:pStyle w:val="2"/>
        <w:spacing w:line="259" w:lineRule="auto"/>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4" w:type="default"/>
          <w:pgSz w:w="11907" w:h="16839"/>
          <w:pgMar w:top="1423"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657BD97C">
      <w:pPr>
        <w:spacing w:line="480" w:lineRule="exact"/>
        <w:ind w:firstLine="480"/>
        <w:rPr>
          <w:rFonts w:ascii="宋体" w:hAnsi="宋体"/>
          <w:color w:val="auto"/>
          <w:sz w:val="24"/>
          <w:highlight w:val="none"/>
          <w:u w:val="single"/>
        </w:rPr>
      </w:pPr>
    </w:p>
    <w:p w14:paraId="434D00B8">
      <w:pPr>
        <w:spacing w:line="480" w:lineRule="exact"/>
        <w:ind w:firstLine="480"/>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rPr>
        <w:t>先生/女士，身份证号码：</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u w:val="single"/>
        </w:rPr>
        <w:t xml:space="preserve">             </w:t>
      </w:r>
    </w:p>
    <w:p w14:paraId="7221FC3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现任我单位</w:t>
      </w:r>
      <w:r>
        <w:rPr>
          <w:rFonts w:ascii="宋体" w:hAnsi="宋体"/>
          <w:color w:val="auto"/>
          <w:sz w:val="24"/>
          <w:highlight w:val="none"/>
          <w:u w:val="single"/>
        </w:rPr>
        <w:t xml:space="preserve">        </w:t>
      </w:r>
      <w:r>
        <w:rPr>
          <w:rFonts w:hint="eastAsia" w:ascii="宋体" w:hAnsi="宋体"/>
          <w:color w:val="auto"/>
          <w:sz w:val="24"/>
          <w:highlight w:val="none"/>
        </w:rPr>
        <w:t>职务，为法定代表人，特此证明。</w:t>
      </w:r>
    </w:p>
    <w:p w14:paraId="40FABD3E">
      <w:pPr>
        <w:spacing w:line="480" w:lineRule="exact"/>
        <w:ind w:firstLine="480"/>
        <w:rPr>
          <w:rFonts w:ascii="宋体" w:hAnsi="宋体"/>
          <w:color w:val="auto"/>
          <w:sz w:val="24"/>
          <w:highlight w:val="none"/>
        </w:rPr>
      </w:pPr>
    </w:p>
    <w:sdt>
      <w:sdtPr>
        <w:rPr>
          <w:rFonts w:ascii="宋体" w:hAnsi="宋体" w:eastAsia="宋体" w:cs="宋体"/>
          <w:color w:val="auto"/>
          <w:sz w:val="24"/>
          <w:szCs w:val="24"/>
          <w:highlight w:val="none"/>
        </w:rPr>
        <w:id w:val="147482201"/>
        <w:showingPlcHdr/>
        <w:docPartObj>
          <w:docPartGallery w:val="Table of Contents"/>
          <w:docPartUnique/>
        </w:docPartObj>
      </w:sdtPr>
      <w:sdtEndPr>
        <w:rPr>
          <w:rFonts w:ascii="宋体" w:hAnsi="宋体" w:eastAsia="宋体" w:cs="宋体"/>
          <w:color w:val="auto"/>
          <w:sz w:val="24"/>
          <w:szCs w:val="24"/>
          <w:highlight w:val="none"/>
        </w:rPr>
      </w:sdtEndPr>
      <w:sdtContent>
        <w:p w14:paraId="65F552DA">
          <w:pPr>
            <w:spacing w:before="194" w:line="220" w:lineRule="auto"/>
            <w:ind w:left="46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5"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val="en-US" w:eastAsia="zh-CN"/>
        </w:rPr>
        <w:t>启东市自来水厂有限公司复合表箱、检查井盖2025-2026年度采购项目</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w:t>
      </w:r>
      <w:r>
        <w:rPr>
          <w:rFonts w:ascii="宋体" w:hAnsi="宋体" w:eastAsia="宋体" w:cs="宋体"/>
          <w:b/>
          <w:bCs/>
          <w:color w:val="auto"/>
          <w:spacing w:val="-1"/>
          <w:sz w:val="24"/>
          <w:szCs w:val="24"/>
          <w:highlight w:val="none"/>
        </w:rPr>
        <w:t>签字或盖章</w:t>
      </w:r>
      <w:r>
        <w:rPr>
          <w:rFonts w:ascii="宋体" w:hAnsi="宋体" w:eastAsia="宋体" w:cs="宋体"/>
          <w:color w:val="auto"/>
          <w:spacing w:val="-1"/>
          <w:sz w:val="24"/>
          <w:szCs w:val="24"/>
          <w:highlight w:val="none"/>
        </w:rPr>
        <w:t>）：</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6"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spacing w:before="131" w:line="220" w:lineRule="auto"/>
        <w:ind w:left="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tabs>
          <w:tab w:val="left" w:pos="706"/>
        </w:tabs>
        <w:spacing w:before="123" w:line="295" w:lineRule="auto"/>
        <w:ind w:left="4" w:right="73" w:firstLine="543"/>
        <w:jc w:val="both"/>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val="en-US" w:eastAsia="zh-CN"/>
        </w:rPr>
        <w:t>启东市自来水厂有限公司复合表箱、检查井盖2025-2026年度采购项目</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3259C5B9">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34B34AA9">
      <w:pPr>
        <w:spacing w:before="45" w:line="290" w:lineRule="auto"/>
        <w:ind w:left="2" w:firstLine="555"/>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none"/>
          <w:lang w:val="en-US" w:eastAsia="zh-CN"/>
        </w:rPr>
        <w:t>2年</w:t>
      </w:r>
      <w:r>
        <w:rPr>
          <w:rFonts w:hint="eastAsia" w:ascii="宋体" w:hAnsi="宋体" w:eastAsia="宋体" w:cs="宋体"/>
          <w:color w:val="auto"/>
          <w:spacing w:val="0"/>
          <w:sz w:val="28"/>
          <w:szCs w:val="28"/>
          <w:highlight w:val="none"/>
          <w:lang w:val="en-US" w:eastAsia="zh-CN"/>
        </w:rPr>
        <w:t>（原厂质保期高于供应商承诺质保期的，按原厂质保期计算。自验收合格报告签字确认日起，开始进入质保期）。质保期内，因</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方所供货物的制造质量出现问题，</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方在接采购方通知后12小时内，情况紧急时8小时内,派人员赶到采购方现场，免费排除问题、及时修复或更换。如</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方逾期不予答复和处理，则视为采购方上述要求已被接受。</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方应承担采购方自行补救而发生的一切损失和费用，采购方有权在保证金中直接扣除。如保证金不够支持本次损失费用，采购方有权向</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方索赔，且视材料等产生的质量问题对水司造成严重社会负面影响或较大经济损失的将列入黑名单，以后将不得再参与启东水司的采购项目。</w:t>
      </w:r>
    </w:p>
    <w:p w14:paraId="55741A1A">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spacing w:before="40" w:line="219" w:lineRule="auto"/>
        <w:ind w:left="49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05373412">
      <w:pPr>
        <w:pStyle w:val="2"/>
        <w:spacing w:line="244" w:lineRule="auto"/>
        <w:rPr>
          <w:color w:val="auto"/>
          <w:highlight w:val="none"/>
        </w:rPr>
      </w:pPr>
    </w:p>
    <w:p w14:paraId="228FDFE3">
      <w:pPr>
        <w:pStyle w:val="2"/>
        <w:spacing w:line="244" w:lineRule="auto"/>
        <w:rPr>
          <w:color w:val="auto"/>
          <w:highlight w:val="none"/>
        </w:rPr>
      </w:pPr>
    </w:p>
    <w:p w14:paraId="4E5E2D2A">
      <w:pPr>
        <w:pStyle w:val="2"/>
        <w:spacing w:line="244" w:lineRule="auto"/>
        <w:rPr>
          <w:color w:val="auto"/>
          <w:highlight w:val="none"/>
        </w:rPr>
      </w:pPr>
    </w:p>
    <w:p w14:paraId="424EDE50">
      <w:pPr>
        <w:tabs>
          <w:tab w:val="left" w:pos="7547"/>
        </w:tabs>
        <w:spacing w:before="91" w:line="320" w:lineRule="auto"/>
        <w:ind w:left="556" w:right="1420" w:firstLine="2"/>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126045F8">
      <w:pPr>
        <w:spacing w:before="23" w:line="303" w:lineRule="auto"/>
        <w:ind w:left="559" w:right="310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spacing w:before="42" w:line="220" w:lineRule="auto"/>
        <w:ind w:left="560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7"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项目名称：启东市自来水厂有限公司复合表箱、检查井盖2025-2026年度采购项目</w:t>
      </w:r>
    </w:p>
    <w:tbl>
      <w:tblPr>
        <w:tblStyle w:val="9"/>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687"/>
        <w:gridCol w:w="2435"/>
        <w:gridCol w:w="15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2" w:type="dxa"/>
            <w:vAlign w:val="top"/>
          </w:tcPr>
          <w:p w14:paraId="648E0E93">
            <w:pPr>
              <w:spacing w:line="250" w:lineRule="auto"/>
              <w:rPr>
                <w:rFonts w:ascii="Arial"/>
                <w:color w:val="auto"/>
                <w:sz w:val="21"/>
                <w:highlight w:val="none"/>
              </w:rPr>
            </w:pPr>
          </w:p>
          <w:p w14:paraId="6D0A868F">
            <w:pPr>
              <w:pStyle w:val="10"/>
              <w:spacing w:before="59" w:line="221" w:lineRule="auto"/>
              <w:ind w:left="238"/>
              <w:rPr>
                <w:color w:val="auto"/>
                <w:sz w:val="18"/>
                <w:szCs w:val="18"/>
                <w:highlight w:val="none"/>
              </w:rPr>
            </w:pPr>
            <w:r>
              <w:rPr>
                <w:b/>
                <w:bCs/>
                <w:color w:val="auto"/>
                <w:spacing w:val="-3"/>
                <w:sz w:val="18"/>
                <w:szCs w:val="18"/>
                <w:highlight w:val="none"/>
              </w:rPr>
              <w:t>序号</w:t>
            </w:r>
          </w:p>
        </w:tc>
        <w:tc>
          <w:tcPr>
            <w:tcW w:w="1524" w:type="dxa"/>
            <w:vAlign w:val="top"/>
          </w:tcPr>
          <w:p w14:paraId="0915B011">
            <w:pPr>
              <w:spacing w:line="250" w:lineRule="auto"/>
              <w:rPr>
                <w:rFonts w:ascii="Arial"/>
                <w:color w:val="auto"/>
                <w:sz w:val="21"/>
                <w:highlight w:val="none"/>
              </w:rPr>
            </w:pPr>
          </w:p>
          <w:p w14:paraId="061A2575">
            <w:pPr>
              <w:pStyle w:val="10"/>
              <w:spacing w:before="58" w:line="220" w:lineRule="auto"/>
              <w:ind w:left="403"/>
              <w:rPr>
                <w:color w:val="auto"/>
                <w:sz w:val="18"/>
                <w:szCs w:val="18"/>
                <w:highlight w:val="none"/>
              </w:rPr>
            </w:pPr>
            <w:r>
              <w:rPr>
                <w:rFonts w:hint="eastAsia"/>
                <w:b/>
                <w:bCs/>
                <w:color w:val="auto"/>
                <w:spacing w:val="-4"/>
                <w:sz w:val="18"/>
                <w:szCs w:val="18"/>
                <w:highlight w:val="none"/>
                <w:lang w:val="en-US" w:eastAsia="zh-CN"/>
              </w:rPr>
              <w:t>材料名称</w:t>
            </w:r>
          </w:p>
        </w:tc>
        <w:tc>
          <w:tcPr>
            <w:tcW w:w="2687" w:type="dxa"/>
            <w:vAlign w:val="top"/>
          </w:tcPr>
          <w:p w14:paraId="20A89968">
            <w:pPr>
              <w:spacing w:line="250" w:lineRule="auto"/>
              <w:rPr>
                <w:rFonts w:ascii="Arial"/>
                <w:color w:val="auto"/>
                <w:sz w:val="21"/>
                <w:highlight w:val="none"/>
              </w:rPr>
            </w:pPr>
          </w:p>
          <w:p w14:paraId="58BDF5C4">
            <w:pPr>
              <w:pStyle w:val="10"/>
              <w:spacing w:before="59" w:line="219" w:lineRule="auto"/>
              <w:ind w:left="624"/>
              <w:rPr>
                <w:color w:val="auto"/>
                <w:sz w:val="18"/>
                <w:szCs w:val="18"/>
                <w:highlight w:val="none"/>
              </w:rPr>
            </w:pPr>
            <w:r>
              <w:rPr>
                <w:b/>
                <w:bCs/>
                <w:color w:val="auto"/>
                <w:spacing w:val="-3"/>
                <w:sz w:val="18"/>
                <w:szCs w:val="18"/>
                <w:highlight w:val="none"/>
              </w:rPr>
              <w:t>采购技术参数要求</w:t>
            </w:r>
          </w:p>
        </w:tc>
        <w:tc>
          <w:tcPr>
            <w:tcW w:w="2435" w:type="dxa"/>
            <w:vAlign w:val="top"/>
          </w:tcPr>
          <w:p w14:paraId="055E283E">
            <w:pPr>
              <w:spacing w:line="250" w:lineRule="auto"/>
              <w:rPr>
                <w:rFonts w:ascii="Arial"/>
                <w:color w:val="auto"/>
                <w:sz w:val="21"/>
                <w:highlight w:val="none"/>
              </w:rPr>
            </w:pPr>
          </w:p>
          <w:p w14:paraId="534811EE">
            <w:pPr>
              <w:pStyle w:val="10"/>
              <w:spacing w:before="59" w:line="218" w:lineRule="auto"/>
              <w:ind w:left="317"/>
              <w:rPr>
                <w:color w:val="auto"/>
                <w:sz w:val="18"/>
                <w:szCs w:val="18"/>
                <w:highlight w:val="none"/>
              </w:rPr>
            </w:pPr>
            <w:r>
              <w:rPr>
                <w:b/>
                <w:bCs/>
                <w:color w:val="auto"/>
                <w:spacing w:val="-2"/>
                <w:sz w:val="18"/>
                <w:szCs w:val="18"/>
                <w:highlight w:val="none"/>
              </w:rPr>
              <w:t>报价货物详细规格参数</w:t>
            </w:r>
          </w:p>
        </w:tc>
        <w:tc>
          <w:tcPr>
            <w:tcW w:w="1504" w:type="dxa"/>
            <w:vAlign w:val="top"/>
          </w:tcPr>
          <w:p w14:paraId="42CE1D79">
            <w:pPr>
              <w:pStyle w:val="10"/>
              <w:spacing w:before="78" w:line="218" w:lineRule="auto"/>
              <w:ind w:left="122"/>
              <w:rPr>
                <w:color w:val="auto"/>
                <w:sz w:val="18"/>
                <w:szCs w:val="18"/>
                <w:highlight w:val="none"/>
              </w:rPr>
            </w:pPr>
            <w:r>
              <w:rPr>
                <w:b/>
                <w:bCs/>
                <w:color w:val="auto"/>
                <w:spacing w:val="-3"/>
                <w:sz w:val="18"/>
                <w:szCs w:val="18"/>
                <w:highlight w:val="none"/>
              </w:rPr>
              <w:t>报价设备参数响</w:t>
            </w:r>
          </w:p>
          <w:p w14:paraId="58DDA67B">
            <w:pPr>
              <w:pStyle w:val="10"/>
              <w:spacing w:before="20" w:line="230" w:lineRule="auto"/>
              <w:ind w:left="214" w:right="126" w:hanging="91"/>
              <w:rPr>
                <w:color w:val="auto"/>
                <w:sz w:val="18"/>
                <w:szCs w:val="18"/>
                <w:highlight w:val="none"/>
              </w:rPr>
            </w:pPr>
            <w:r>
              <w:rPr>
                <w:b/>
                <w:bCs/>
                <w:color w:val="auto"/>
                <w:spacing w:val="-4"/>
                <w:sz w:val="18"/>
                <w:szCs w:val="18"/>
                <w:highlight w:val="none"/>
              </w:rPr>
              <w:t>应（正偏离、满</w:t>
            </w:r>
            <w:r>
              <w:rPr>
                <w:color w:val="auto"/>
                <w:spacing w:val="2"/>
                <w:sz w:val="18"/>
                <w:szCs w:val="18"/>
                <w:highlight w:val="none"/>
              </w:rPr>
              <w:t xml:space="preserve"> </w:t>
            </w:r>
            <w:r>
              <w:rPr>
                <w:b/>
                <w:bCs/>
                <w:color w:val="auto"/>
                <w:spacing w:val="-5"/>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687" w:type="dxa"/>
            <w:vAlign w:val="top"/>
          </w:tcPr>
          <w:p w14:paraId="4388509D">
            <w:pPr>
              <w:rPr>
                <w:rFonts w:ascii="Arial"/>
                <w:color w:val="auto"/>
                <w:sz w:val="21"/>
                <w:highlight w:val="none"/>
              </w:rPr>
            </w:pPr>
          </w:p>
        </w:tc>
        <w:tc>
          <w:tcPr>
            <w:tcW w:w="2435" w:type="dxa"/>
            <w:vAlign w:val="top"/>
          </w:tcPr>
          <w:p w14:paraId="552C235D">
            <w:pPr>
              <w:rPr>
                <w:rFonts w:ascii="Arial"/>
                <w:color w:val="auto"/>
                <w:sz w:val="21"/>
                <w:highlight w:val="none"/>
              </w:rPr>
            </w:pPr>
          </w:p>
        </w:tc>
        <w:tc>
          <w:tcPr>
            <w:tcW w:w="15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687" w:type="dxa"/>
            <w:vAlign w:val="top"/>
          </w:tcPr>
          <w:p w14:paraId="3A0E84B4">
            <w:pPr>
              <w:rPr>
                <w:rFonts w:ascii="Arial"/>
                <w:color w:val="auto"/>
                <w:sz w:val="21"/>
                <w:highlight w:val="none"/>
              </w:rPr>
            </w:pPr>
          </w:p>
        </w:tc>
        <w:tc>
          <w:tcPr>
            <w:tcW w:w="2435" w:type="dxa"/>
            <w:vAlign w:val="top"/>
          </w:tcPr>
          <w:p w14:paraId="09709B64">
            <w:pPr>
              <w:rPr>
                <w:rFonts w:ascii="Arial"/>
                <w:color w:val="auto"/>
                <w:sz w:val="21"/>
                <w:highlight w:val="none"/>
              </w:rPr>
            </w:pPr>
          </w:p>
        </w:tc>
        <w:tc>
          <w:tcPr>
            <w:tcW w:w="15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687" w:type="dxa"/>
            <w:vAlign w:val="top"/>
          </w:tcPr>
          <w:p w14:paraId="129E135C">
            <w:pPr>
              <w:rPr>
                <w:rFonts w:ascii="Arial"/>
                <w:color w:val="auto"/>
                <w:sz w:val="21"/>
                <w:highlight w:val="none"/>
              </w:rPr>
            </w:pPr>
          </w:p>
        </w:tc>
        <w:tc>
          <w:tcPr>
            <w:tcW w:w="2435" w:type="dxa"/>
            <w:vAlign w:val="top"/>
          </w:tcPr>
          <w:p w14:paraId="53D8A7B5">
            <w:pPr>
              <w:rPr>
                <w:rFonts w:ascii="Arial"/>
                <w:color w:val="auto"/>
                <w:sz w:val="21"/>
                <w:highlight w:val="none"/>
              </w:rPr>
            </w:pPr>
          </w:p>
        </w:tc>
        <w:tc>
          <w:tcPr>
            <w:tcW w:w="15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687" w:type="dxa"/>
            <w:vAlign w:val="top"/>
          </w:tcPr>
          <w:p w14:paraId="42A82E2E">
            <w:pPr>
              <w:rPr>
                <w:rFonts w:ascii="Arial"/>
                <w:color w:val="auto"/>
                <w:sz w:val="21"/>
                <w:highlight w:val="none"/>
              </w:rPr>
            </w:pPr>
          </w:p>
        </w:tc>
        <w:tc>
          <w:tcPr>
            <w:tcW w:w="2435" w:type="dxa"/>
            <w:vAlign w:val="top"/>
          </w:tcPr>
          <w:p w14:paraId="76530EE7">
            <w:pPr>
              <w:rPr>
                <w:rFonts w:ascii="Arial"/>
                <w:color w:val="auto"/>
                <w:sz w:val="21"/>
                <w:highlight w:val="none"/>
              </w:rPr>
            </w:pPr>
          </w:p>
        </w:tc>
        <w:tc>
          <w:tcPr>
            <w:tcW w:w="15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687" w:type="dxa"/>
            <w:vAlign w:val="top"/>
          </w:tcPr>
          <w:p w14:paraId="74428821">
            <w:pPr>
              <w:rPr>
                <w:rFonts w:ascii="Arial"/>
                <w:color w:val="auto"/>
                <w:sz w:val="21"/>
                <w:highlight w:val="none"/>
              </w:rPr>
            </w:pPr>
          </w:p>
        </w:tc>
        <w:tc>
          <w:tcPr>
            <w:tcW w:w="2435" w:type="dxa"/>
            <w:vAlign w:val="top"/>
          </w:tcPr>
          <w:p w14:paraId="588281A9">
            <w:pPr>
              <w:rPr>
                <w:rFonts w:ascii="Arial"/>
                <w:color w:val="auto"/>
                <w:sz w:val="21"/>
                <w:highlight w:val="none"/>
              </w:rPr>
            </w:pPr>
          </w:p>
        </w:tc>
        <w:tc>
          <w:tcPr>
            <w:tcW w:w="15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687" w:type="dxa"/>
            <w:vAlign w:val="top"/>
          </w:tcPr>
          <w:p w14:paraId="5ADA4789">
            <w:pPr>
              <w:rPr>
                <w:rFonts w:ascii="Arial"/>
                <w:color w:val="auto"/>
                <w:sz w:val="21"/>
                <w:highlight w:val="none"/>
              </w:rPr>
            </w:pPr>
          </w:p>
        </w:tc>
        <w:tc>
          <w:tcPr>
            <w:tcW w:w="2435" w:type="dxa"/>
            <w:vAlign w:val="top"/>
          </w:tcPr>
          <w:p w14:paraId="66734326">
            <w:pPr>
              <w:rPr>
                <w:rFonts w:ascii="Arial"/>
                <w:color w:val="auto"/>
                <w:sz w:val="21"/>
                <w:highlight w:val="none"/>
              </w:rPr>
            </w:pPr>
          </w:p>
        </w:tc>
        <w:tc>
          <w:tcPr>
            <w:tcW w:w="15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687" w:type="dxa"/>
            <w:vAlign w:val="top"/>
          </w:tcPr>
          <w:p w14:paraId="61B13A97">
            <w:pPr>
              <w:rPr>
                <w:rFonts w:ascii="Arial"/>
                <w:color w:val="auto"/>
                <w:sz w:val="21"/>
                <w:highlight w:val="none"/>
              </w:rPr>
            </w:pPr>
          </w:p>
        </w:tc>
        <w:tc>
          <w:tcPr>
            <w:tcW w:w="2435" w:type="dxa"/>
            <w:vAlign w:val="top"/>
          </w:tcPr>
          <w:p w14:paraId="221A4E41">
            <w:pPr>
              <w:rPr>
                <w:rFonts w:ascii="Arial"/>
                <w:color w:val="auto"/>
                <w:sz w:val="21"/>
                <w:highlight w:val="none"/>
              </w:rPr>
            </w:pPr>
          </w:p>
        </w:tc>
        <w:tc>
          <w:tcPr>
            <w:tcW w:w="15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687" w:type="dxa"/>
            <w:vAlign w:val="top"/>
          </w:tcPr>
          <w:p w14:paraId="59C5CF77">
            <w:pPr>
              <w:rPr>
                <w:rFonts w:ascii="Arial"/>
                <w:color w:val="auto"/>
                <w:sz w:val="21"/>
                <w:highlight w:val="none"/>
              </w:rPr>
            </w:pPr>
          </w:p>
        </w:tc>
        <w:tc>
          <w:tcPr>
            <w:tcW w:w="2435" w:type="dxa"/>
            <w:vAlign w:val="top"/>
          </w:tcPr>
          <w:p w14:paraId="3F98FA68">
            <w:pPr>
              <w:rPr>
                <w:rFonts w:ascii="Arial"/>
                <w:color w:val="auto"/>
                <w:sz w:val="21"/>
                <w:highlight w:val="none"/>
              </w:rPr>
            </w:pPr>
          </w:p>
        </w:tc>
        <w:tc>
          <w:tcPr>
            <w:tcW w:w="15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687" w:type="dxa"/>
            <w:vAlign w:val="top"/>
          </w:tcPr>
          <w:p w14:paraId="4B9B383E">
            <w:pPr>
              <w:rPr>
                <w:rFonts w:ascii="Arial"/>
                <w:color w:val="auto"/>
                <w:sz w:val="21"/>
                <w:highlight w:val="none"/>
              </w:rPr>
            </w:pPr>
          </w:p>
        </w:tc>
        <w:tc>
          <w:tcPr>
            <w:tcW w:w="2435" w:type="dxa"/>
            <w:vAlign w:val="top"/>
          </w:tcPr>
          <w:p w14:paraId="5F9FF2D5">
            <w:pPr>
              <w:rPr>
                <w:rFonts w:ascii="Arial"/>
                <w:color w:val="auto"/>
                <w:sz w:val="21"/>
                <w:highlight w:val="none"/>
              </w:rPr>
            </w:pPr>
          </w:p>
        </w:tc>
        <w:tc>
          <w:tcPr>
            <w:tcW w:w="15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687" w:type="dxa"/>
            <w:vAlign w:val="top"/>
          </w:tcPr>
          <w:p w14:paraId="2127AE06">
            <w:pPr>
              <w:rPr>
                <w:rFonts w:ascii="Arial"/>
                <w:color w:val="auto"/>
                <w:sz w:val="21"/>
                <w:highlight w:val="none"/>
              </w:rPr>
            </w:pPr>
          </w:p>
        </w:tc>
        <w:tc>
          <w:tcPr>
            <w:tcW w:w="2435" w:type="dxa"/>
            <w:vAlign w:val="top"/>
          </w:tcPr>
          <w:p w14:paraId="344B965A">
            <w:pPr>
              <w:rPr>
                <w:rFonts w:ascii="Arial"/>
                <w:color w:val="auto"/>
                <w:sz w:val="21"/>
                <w:highlight w:val="none"/>
              </w:rPr>
            </w:pPr>
          </w:p>
        </w:tc>
        <w:tc>
          <w:tcPr>
            <w:tcW w:w="15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687" w:type="dxa"/>
            <w:vAlign w:val="top"/>
          </w:tcPr>
          <w:p w14:paraId="4222DB38">
            <w:pPr>
              <w:rPr>
                <w:rFonts w:ascii="Arial"/>
                <w:color w:val="auto"/>
                <w:sz w:val="21"/>
                <w:highlight w:val="none"/>
              </w:rPr>
            </w:pPr>
          </w:p>
        </w:tc>
        <w:tc>
          <w:tcPr>
            <w:tcW w:w="2435" w:type="dxa"/>
            <w:vAlign w:val="top"/>
          </w:tcPr>
          <w:p w14:paraId="6F3E7BC8">
            <w:pPr>
              <w:rPr>
                <w:rFonts w:ascii="Arial"/>
                <w:color w:val="auto"/>
                <w:sz w:val="21"/>
                <w:highlight w:val="none"/>
              </w:rPr>
            </w:pPr>
          </w:p>
        </w:tc>
        <w:tc>
          <w:tcPr>
            <w:tcW w:w="15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0"/>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0"/>
              <w:spacing w:before="159" w:line="332" w:lineRule="exact"/>
              <w:ind w:left="566"/>
              <w:rPr>
                <w:color w:val="auto"/>
                <w:sz w:val="21"/>
                <w:szCs w:val="21"/>
                <w:highlight w:val="none"/>
              </w:rPr>
            </w:pPr>
            <w:r>
              <w:rPr>
                <w:b/>
                <w:bCs/>
                <w:color w:val="auto"/>
                <w:spacing w:val="-7"/>
                <w:position w:val="2"/>
                <w:sz w:val="21"/>
                <w:szCs w:val="21"/>
                <w:highlight w:val="none"/>
              </w:rPr>
              <w:t>……</w:t>
            </w:r>
          </w:p>
        </w:tc>
        <w:tc>
          <w:tcPr>
            <w:tcW w:w="2687" w:type="dxa"/>
            <w:vAlign w:val="top"/>
          </w:tcPr>
          <w:p w14:paraId="2CF68154">
            <w:pPr>
              <w:rPr>
                <w:rFonts w:ascii="Arial"/>
                <w:color w:val="auto"/>
                <w:sz w:val="21"/>
                <w:highlight w:val="none"/>
              </w:rPr>
            </w:pPr>
          </w:p>
        </w:tc>
        <w:tc>
          <w:tcPr>
            <w:tcW w:w="2435" w:type="dxa"/>
            <w:vAlign w:val="top"/>
          </w:tcPr>
          <w:p w14:paraId="3BBF4E71">
            <w:pPr>
              <w:rPr>
                <w:rFonts w:ascii="Arial"/>
                <w:color w:val="auto"/>
                <w:sz w:val="21"/>
                <w:highlight w:val="none"/>
              </w:rPr>
            </w:pPr>
          </w:p>
        </w:tc>
        <w:tc>
          <w:tcPr>
            <w:tcW w:w="15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8"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项目名称：启东市自来水厂有限公司复合表箱、检查井盖2025-2026年度采购项目</w:t>
      </w:r>
    </w:p>
    <w:tbl>
      <w:tblPr>
        <w:tblStyle w:val="7"/>
        <w:tblW w:w="9469" w:type="dxa"/>
        <w:jc w:val="center"/>
        <w:tblLayout w:type="fixed"/>
        <w:tblCellMar>
          <w:top w:w="0" w:type="dxa"/>
          <w:left w:w="108" w:type="dxa"/>
          <w:bottom w:w="0" w:type="dxa"/>
          <w:right w:w="108" w:type="dxa"/>
        </w:tblCellMar>
      </w:tblPr>
      <w:tblGrid>
        <w:gridCol w:w="850"/>
        <w:gridCol w:w="1165"/>
        <w:gridCol w:w="1621"/>
        <w:gridCol w:w="709"/>
        <w:gridCol w:w="1185"/>
        <w:gridCol w:w="984"/>
        <w:gridCol w:w="1013"/>
        <w:gridCol w:w="883"/>
        <w:gridCol w:w="1059"/>
      </w:tblGrid>
      <w:tr w14:paraId="6290C13C">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8700160">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序号</w:t>
            </w:r>
          </w:p>
        </w:tc>
        <w:tc>
          <w:tcPr>
            <w:tcW w:w="1165" w:type="dxa"/>
            <w:tcBorders>
              <w:top w:val="single" w:color="auto" w:sz="4" w:space="0"/>
              <w:left w:val="single" w:color="auto" w:sz="4" w:space="0"/>
              <w:bottom w:val="single" w:color="auto" w:sz="4" w:space="0"/>
              <w:right w:val="single" w:color="auto" w:sz="4" w:space="0"/>
            </w:tcBorders>
            <w:noWrap/>
            <w:vAlign w:val="center"/>
          </w:tcPr>
          <w:p w14:paraId="55546BAF">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材料名称</w:t>
            </w:r>
          </w:p>
        </w:tc>
        <w:tc>
          <w:tcPr>
            <w:tcW w:w="1621" w:type="dxa"/>
            <w:tcBorders>
              <w:top w:val="single" w:color="auto" w:sz="4" w:space="0"/>
              <w:left w:val="single" w:color="auto" w:sz="4" w:space="0"/>
              <w:bottom w:val="single" w:color="auto" w:sz="4" w:space="0"/>
              <w:right w:val="single" w:color="auto" w:sz="4" w:space="0"/>
            </w:tcBorders>
            <w:noWrap/>
            <w:vAlign w:val="center"/>
          </w:tcPr>
          <w:p w14:paraId="20B8C5D8">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规格/型号</w:t>
            </w:r>
          </w:p>
        </w:tc>
        <w:tc>
          <w:tcPr>
            <w:tcW w:w="709" w:type="dxa"/>
            <w:tcBorders>
              <w:top w:val="single" w:color="auto" w:sz="4" w:space="0"/>
              <w:left w:val="single" w:color="auto" w:sz="4" w:space="0"/>
              <w:bottom w:val="single" w:color="auto" w:sz="4" w:space="0"/>
              <w:right w:val="single" w:color="auto" w:sz="4" w:space="0"/>
            </w:tcBorders>
            <w:noWrap/>
            <w:vAlign w:val="center"/>
          </w:tcPr>
          <w:p w14:paraId="3931D24B">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计量   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9E50D13">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val="en-US" w:eastAsia="zh-CN" w:bidi="ar"/>
              </w:rPr>
              <w:t>预估数量</w:t>
            </w:r>
          </w:p>
        </w:tc>
        <w:tc>
          <w:tcPr>
            <w:tcW w:w="984" w:type="dxa"/>
            <w:tcBorders>
              <w:top w:val="single" w:color="auto" w:sz="4" w:space="0"/>
              <w:left w:val="single" w:color="auto" w:sz="4" w:space="0"/>
              <w:bottom w:val="single" w:color="auto" w:sz="4" w:space="0"/>
              <w:right w:val="single" w:color="auto" w:sz="4" w:space="0"/>
            </w:tcBorders>
            <w:noWrap/>
            <w:vAlign w:val="center"/>
          </w:tcPr>
          <w:p w14:paraId="2EC203C2">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品牌</w:t>
            </w:r>
          </w:p>
        </w:tc>
        <w:tc>
          <w:tcPr>
            <w:tcW w:w="1013" w:type="dxa"/>
            <w:tcBorders>
              <w:top w:val="single" w:color="auto" w:sz="4" w:space="0"/>
              <w:left w:val="single" w:color="auto" w:sz="4" w:space="0"/>
              <w:bottom w:val="single" w:color="auto" w:sz="4" w:space="0"/>
              <w:right w:val="single" w:color="auto" w:sz="4" w:space="0"/>
            </w:tcBorders>
            <w:noWrap/>
            <w:vAlign w:val="center"/>
          </w:tcPr>
          <w:p w14:paraId="3DDCD159">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val="en-US" w:eastAsia="zh-CN" w:bidi="ar"/>
              </w:rPr>
              <w:t>分项综合</w:t>
            </w:r>
            <w:r>
              <w:rPr>
                <w:rFonts w:hint="eastAsia" w:ascii="宋体" w:hAnsi="宋体" w:eastAsia="宋体" w:cs="宋体"/>
                <w:b/>
                <w:bCs/>
                <w:color w:val="auto"/>
                <w:kern w:val="0"/>
                <w:sz w:val="21"/>
                <w:szCs w:val="21"/>
                <w:lang w:bidi="ar"/>
              </w:rPr>
              <w:t>单价（元）</w:t>
            </w:r>
          </w:p>
        </w:tc>
        <w:tc>
          <w:tcPr>
            <w:tcW w:w="883" w:type="dxa"/>
            <w:tcBorders>
              <w:top w:val="single" w:color="auto" w:sz="4" w:space="0"/>
              <w:left w:val="single" w:color="auto" w:sz="4" w:space="0"/>
              <w:bottom w:val="single" w:color="auto" w:sz="4" w:space="0"/>
              <w:right w:val="single" w:color="auto" w:sz="4" w:space="0"/>
            </w:tcBorders>
            <w:noWrap/>
            <w:vAlign w:val="center"/>
          </w:tcPr>
          <w:p w14:paraId="6B872F2D">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合计</w:t>
            </w:r>
          </w:p>
          <w:p w14:paraId="1F0129AE">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1059" w:type="dxa"/>
            <w:tcBorders>
              <w:top w:val="single" w:color="auto" w:sz="4" w:space="0"/>
              <w:left w:val="single" w:color="auto" w:sz="4" w:space="0"/>
              <w:bottom w:val="single" w:color="auto" w:sz="4" w:space="0"/>
              <w:right w:val="single" w:color="auto" w:sz="4" w:space="0"/>
            </w:tcBorders>
            <w:noWrap/>
            <w:vAlign w:val="center"/>
          </w:tcPr>
          <w:p w14:paraId="68A32A2C">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备注</w:t>
            </w:r>
          </w:p>
        </w:tc>
      </w:tr>
      <w:tr w14:paraId="01018E01">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5993D60">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65" w:type="dxa"/>
            <w:tcBorders>
              <w:top w:val="single" w:color="auto" w:sz="4" w:space="0"/>
              <w:left w:val="single" w:color="auto" w:sz="4" w:space="0"/>
              <w:bottom w:val="single" w:color="auto" w:sz="4" w:space="0"/>
              <w:right w:val="single" w:color="auto" w:sz="4" w:space="0"/>
            </w:tcBorders>
            <w:noWrap/>
            <w:vAlign w:val="center"/>
          </w:tcPr>
          <w:p w14:paraId="08D71515">
            <w:pPr>
              <w:widowControl/>
              <w:jc w:val="center"/>
              <w:textAlignment w:val="center"/>
              <w:rPr>
                <w:rFonts w:hint="eastAsia" w:ascii="宋体" w:hAnsi="宋体" w:eastAsia="宋体" w:cs="宋体"/>
                <w:color w:val="auto"/>
                <w:sz w:val="21"/>
                <w:szCs w:val="21"/>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C5E51CF">
            <w:pPr>
              <w:widowControl/>
              <w:jc w:val="center"/>
              <w:textAlignment w:val="center"/>
              <w:rPr>
                <w:rFonts w:hint="eastAsia" w:ascii="宋体" w:hAnsi="宋体" w:eastAsia="宋体" w:cs="宋体"/>
                <w:color w:val="auto"/>
                <w:sz w:val="21"/>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1E0BC4">
            <w:pPr>
              <w:widowControl/>
              <w:jc w:val="center"/>
              <w:textAlignment w:val="center"/>
              <w:rPr>
                <w:rFonts w:hint="eastAsia" w:ascii="宋体" w:hAnsi="宋体" w:eastAsia="宋体" w:cs="宋体"/>
                <w:color w:val="auto"/>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769C8D1">
            <w:pPr>
              <w:widowControl/>
              <w:jc w:val="center"/>
              <w:textAlignment w:val="center"/>
              <w:rPr>
                <w:rFonts w:hint="eastAsia" w:ascii="宋体" w:hAnsi="宋体" w:eastAsia="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29BF3C84">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D1965FB">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22CA457">
            <w:pPr>
              <w:widowControl/>
              <w:jc w:val="center"/>
              <w:textAlignment w:val="center"/>
              <w:rPr>
                <w:rFonts w:hint="eastAsia" w:ascii="宋体" w:hAnsi="宋体" w:eastAsia="宋体" w:cs="宋体"/>
                <w:color w:val="auto"/>
                <w:kern w:val="0"/>
                <w:sz w:val="21"/>
                <w:szCs w:val="21"/>
                <w:lang w:bidi="ar"/>
              </w:rPr>
            </w:pPr>
          </w:p>
        </w:tc>
        <w:tc>
          <w:tcPr>
            <w:tcW w:w="1059" w:type="dxa"/>
            <w:vMerge w:val="restart"/>
            <w:tcBorders>
              <w:top w:val="single" w:color="auto" w:sz="4" w:space="0"/>
              <w:left w:val="single" w:color="auto" w:sz="4" w:space="0"/>
              <w:right w:val="single" w:color="auto" w:sz="4" w:space="0"/>
            </w:tcBorders>
            <w:noWrap w:val="0"/>
            <w:vAlign w:val="center"/>
          </w:tcPr>
          <w:p w14:paraId="49F14960">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含13%增值税，含运费，含卸货费等全部费用</w:t>
            </w:r>
          </w:p>
        </w:tc>
      </w:tr>
      <w:tr w14:paraId="401361BA">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7002D0A3">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65" w:type="dxa"/>
            <w:tcBorders>
              <w:top w:val="single" w:color="auto" w:sz="4" w:space="0"/>
              <w:left w:val="single" w:color="auto" w:sz="4" w:space="0"/>
              <w:bottom w:val="single" w:color="auto" w:sz="4" w:space="0"/>
              <w:right w:val="single" w:color="auto" w:sz="4" w:space="0"/>
            </w:tcBorders>
            <w:noWrap/>
            <w:vAlign w:val="center"/>
          </w:tcPr>
          <w:p w14:paraId="2B47303D">
            <w:pPr>
              <w:widowControl/>
              <w:jc w:val="center"/>
              <w:textAlignment w:val="center"/>
              <w:rPr>
                <w:rFonts w:hint="eastAsia" w:ascii="宋体" w:hAnsi="宋体" w:eastAsia="宋体" w:cs="宋体"/>
                <w:color w:val="auto"/>
                <w:sz w:val="21"/>
                <w:szCs w:val="21"/>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7C5C20E">
            <w:pPr>
              <w:widowControl/>
              <w:jc w:val="center"/>
              <w:textAlignment w:val="center"/>
              <w:rPr>
                <w:rFonts w:hint="eastAsia" w:ascii="宋体" w:hAnsi="宋体" w:eastAsia="宋体" w:cs="宋体"/>
                <w:color w:val="auto"/>
                <w:sz w:val="21"/>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B003B1">
            <w:pPr>
              <w:widowControl/>
              <w:jc w:val="center"/>
              <w:textAlignment w:val="center"/>
              <w:rPr>
                <w:rFonts w:hint="eastAsia" w:ascii="宋体" w:hAnsi="宋体" w:eastAsia="宋体" w:cs="宋体"/>
                <w:color w:val="auto"/>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EEE7C07">
            <w:pPr>
              <w:widowControl/>
              <w:jc w:val="center"/>
              <w:textAlignment w:val="center"/>
              <w:rPr>
                <w:rFonts w:hint="eastAsia" w:ascii="宋体" w:hAnsi="宋体" w:eastAsia="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568D2222">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B74FDE0">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2847FA8">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1A030974">
            <w:pPr>
              <w:widowControl/>
              <w:jc w:val="center"/>
              <w:textAlignment w:val="center"/>
              <w:rPr>
                <w:rFonts w:hint="eastAsia" w:ascii="宋体" w:hAnsi="宋体" w:eastAsia="宋体" w:cs="宋体"/>
                <w:color w:val="auto"/>
                <w:kern w:val="0"/>
                <w:sz w:val="21"/>
                <w:szCs w:val="21"/>
                <w:lang w:bidi="ar"/>
              </w:rPr>
            </w:pPr>
          </w:p>
        </w:tc>
      </w:tr>
      <w:tr w14:paraId="034371A9">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25FF2D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165" w:type="dxa"/>
            <w:tcBorders>
              <w:top w:val="single" w:color="auto" w:sz="4" w:space="0"/>
              <w:left w:val="single" w:color="auto" w:sz="4" w:space="0"/>
              <w:bottom w:val="single" w:color="auto" w:sz="4" w:space="0"/>
              <w:right w:val="single" w:color="auto" w:sz="4" w:space="0"/>
            </w:tcBorders>
            <w:noWrap/>
            <w:vAlign w:val="center"/>
          </w:tcPr>
          <w:p w14:paraId="0060E861">
            <w:pPr>
              <w:widowControl/>
              <w:jc w:val="center"/>
              <w:textAlignment w:val="center"/>
              <w:rPr>
                <w:rFonts w:hint="eastAsia" w:ascii="宋体" w:hAnsi="宋体" w:eastAsia="宋体" w:cs="宋体"/>
                <w:color w:val="auto"/>
                <w:kern w:val="0"/>
                <w:sz w:val="21"/>
                <w:szCs w:val="21"/>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367B88BB">
            <w:pPr>
              <w:widowControl/>
              <w:jc w:val="center"/>
              <w:textAlignment w:val="center"/>
              <w:rPr>
                <w:rFonts w:hint="eastAsia" w:ascii="宋体" w:hAnsi="宋体" w:eastAsia="宋体" w:cs="宋体"/>
                <w:color w:val="auto"/>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F09A36">
            <w:pPr>
              <w:widowControl/>
              <w:jc w:val="center"/>
              <w:textAlignment w:val="center"/>
              <w:rPr>
                <w:rFonts w:hint="eastAsia" w:ascii="宋体" w:hAnsi="宋体" w:eastAsia="宋体" w:cs="宋体"/>
                <w:color w:val="auto"/>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20B63">
            <w:pPr>
              <w:widowControl/>
              <w:jc w:val="center"/>
              <w:textAlignment w:val="center"/>
              <w:rPr>
                <w:rFonts w:hint="eastAsia" w:ascii="宋体" w:hAnsi="宋体" w:eastAsia="宋体" w:cs="宋体"/>
                <w:color w:val="auto"/>
                <w:kern w:val="0"/>
                <w:sz w:val="21"/>
                <w:szCs w:val="21"/>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C4F92FF">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C55FF9E">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5379BE80">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18B001D7">
            <w:pPr>
              <w:widowControl/>
              <w:jc w:val="center"/>
              <w:textAlignment w:val="center"/>
              <w:rPr>
                <w:rFonts w:hint="eastAsia" w:ascii="宋体" w:hAnsi="宋体" w:eastAsia="宋体" w:cs="宋体"/>
                <w:color w:val="auto"/>
                <w:kern w:val="0"/>
                <w:sz w:val="21"/>
                <w:szCs w:val="21"/>
                <w:lang w:bidi="ar"/>
              </w:rPr>
            </w:pPr>
          </w:p>
        </w:tc>
      </w:tr>
      <w:tr w14:paraId="43EED1AD">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21807ED">
            <w:pPr>
              <w:widowControl/>
              <w:jc w:val="center"/>
              <w:rPr>
                <w:rFonts w:hint="eastAsia" w:ascii="宋体" w:hAnsi="宋体" w:eastAsia="宋体" w:cs="宋体"/>
                <w:color w:val="auto"/>
                <w:kern w:val="0"/>
                <w:sz w:val="21"/>
                <w:szCs w:val="21"/>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011DB02">
            <w:pPr>
              <w:widowControl/>
              <w:jc w:val="center"/>
              <w:textAlignment w:val="center"/>
              <w:rPr>
                <w:rFonts w:hint="eastAsia" w:ascii="宋体" w:hAnsi="宋体" w:eastAsia="宋体" w:cs="宋体"/>
                <w:color w:val="auto"/>
                <w:kern w:val="0"/>
                <w:sz w:val="21"/>
                <w:szCs w:val="21"/>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FEE6C79">
            <w:pPr>
              <w:widowControl/>
              <w:jc w:val="center"/>
              <w:textAlignment w:val="center"/>
              <w:rPr>
                <w:rFonts w:hint="eastAsia" w:ascii="宋体" w:hAnsi="宋体" w:eastAsia="宋体" w:cs="宋体"/>
                <w:color w:val="auto"/>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8834D5">
            <w:pPr>
              <w:widowControl/>
              <w:jc w:val="center"/>
              <w:textAlignment w:val="center"/>
              <w:rPr>
                <w:rFonts w:hint="eastAsia" w:ascii="宋体" w:hAnsi="宋体" w:eastAsia="宋体" w:cs="宋体"/>
                <w:color w:val="auto"/>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1444332">
            <w:pPr>
              <w:widowControl/>
              <w:jc w:val="center"/>
              <w:textAlignment w:val="center"/>
              <w:rPr>
                <w:rFonts w:hint="eastAsia" w:ascii="宋体" w:hAnsi="宋体" w:eastAsia="宋体" w:cs="宋体"/>
                <w:color w:val="auto"/>
                <w:kern w:val="0"/>
                <w:sz w:val="21"/>
                <w:szCs w:val="21"/>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6761551">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FD61A7E">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7F63746">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5D8A211B">
            <w:pPr>
              <w:widowControl/>
              <w:jc w:val="center"/>
              <w:textAlignment w:val="center"/>
              <w:rPr>
                <w:rFonts w:hint="eastAsia" w:ascii="宋体" w:hAnsi="宋体" w:eastAsia="宋体" w:cs="宋体"/>
                <w:color w:val="auto"/>
                <w:kern w:val="0"/>
                <w:sz w:val="21"/>
                <w:szCs w:val="21"/>
                <w:lang w:bidi="ar"/>
              </w:rPr>
            </w:pPr>
          </w:p>
        </w:tc>
      </w:tr>
      <w:tr w14:paraId="58160565">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003A88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65" w:type="dxa"/>
            <w:tcBorders>
              <w:top w:val="single" w:color="auto" w:sz="4" w:space="0"/>
              <w:left w:val="single" w:color="auto" w:sz="4" w:space="0"/>
              <w:bottom w:val="single" w:color="auto" w:sz="4" w:space="0"/>
              <w:right w:val="single" w:color="auto" w:sz="4" w:space="0"/>
            </w:tcBorders>
            <w:noWrap/>
            <w:vAlign w:val="center"/>
          </w:tcPr>
          <w:p w14:paraId="0E11736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1621" w:type="dxa"/>
            <w:tcBorders>
              <w:top w:val="single" w:color="auto" w:sz="4" w:space="0"/>
              <w:left w:val="single" w:color="auto" w:sz="4" w:space="0"/>
              <w:bottom w:val="single" w:color="auto" w:sz="4" w:space="0"/>
              <w:right w:val="single" w:color="auto" w:sz="4" w:space="0"/>
            </w:tcBorders>
            <w:noWrap/>
            <w:vAlign w:val="center"/>
          </w:tcPr>
          <w:p w14:paraId="7CB15FD1">
            <w:pPr>
              <w:widowControl/>
              <w:jc w:val="center"/>
              <w:textAlignment w:val="center"/>
              <w:rPr>
                <w:rFonts w:hint="eastAsia" w:ascii="宋体" w:hAnsi="宋体" w:eastAsia="宋体" w:cs="宋体"/>
                <w:color w:val="auto"/>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F6F282">
            <w:pPr>
              <w:widowControl/>
              <w:jc w:val="center"/>
              <w:textAlignment w:val="center"/>
              <w:rPr>
                <w:rFonts w:hint="eastAsia" w:ascii="宋体" w:hAnsi="宋体" w:eastAsia="宋体" w:cs="宋体"/>
                <w:color w:val="auto"/>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8C89D5">
            <w:pPr>
              <w:widowControl/>
              <w:jc w:val="center"/>
              <w:textAlignment w:val="center"/>
              <w:rPr>
                <w:rFonts w:hint="eastAsia" w:ascii="宋体" w:hAnsi="宋体" w:eastAsia="宋体" w:cs="宋体"/>
                <w:color w:val="auto"/>
                <w:kern w:val="0"/>
                <w:sz w:val="21"/>
                <w:szCs w:val="21"/>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79453A36">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08ECE11">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A4B0C29">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087A306A">
            <w:pPr>
              <w:widowControl/>
              <w:jc w:val="center"/>
              <w:textAlignment w:val="center"/>
              <w:rPr>
                <w:rFonts w:hint="eastAsia" w:ascii="宋体" w:hAnsi="宋体" w:eastAsia="宋体" w:cs="宋体"/>
                <w:color w:val="auto"/>
                <w:kern w:val="0"/>
                <w:sz w:val="21"/>
                <w:szCs w:val="21"/>
                <w:lang w:bidi="ar"/>
              </w:rPr>
            </w:pPr>
          </w:p>
        </w:tc>
      </w:tr>
      <w:tr w14:paraId="1E8BFEEE">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BD4AE00">
            <w:pPr>
              <w:widowControl/>
              <w:jc w:val="center"/>
              <w:textAlignment w:val="center"/>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总价</w:t>
            </w:r>
          </w:p>
          <w:p w14:paraId="696FC090">
            <w:pPr>
              <w:widowControl/>
              <w:jc w:val="center"/>
              <w:textAlignment w:val="center"/>
              <w:rPr>
                <w:rFonts w:hint="eastAsia" w:ascii="宋体" w:hAnsi="宋体" w:eastAsia="宋体" w:cs="宋体"/>
                <w:color w:val="auto"/>
                <w:spacing w:val="7"/>
                <w:kern w:val="0"/>
                <w:sz w:val="21"/>
                <w:szCs w:val="21"/>
              </w:rPr>
            </w:pPr>
            <w:r>
              <w:rPr>
                <w:rFonts w:hint="eastAsia" w:ascii="宋体" w:hAnsi="宋体" w:cs="宋体"/>
                <w:b/>
                <w:bCs/>
                <w:color w:val="auto"/>
                <w:kern w:val="0"/>
                <w:sz w:val="21"/>
                <w:szCs w:val="21"/>
                <w:lang w:val="en-US" w:eastAsia="zh-CN" w:bidi="ar"/>
              </w:rPr>
              <w:t>（元）</w:t>
            </w:r>
          </w:p>
        </w:tc>
        <w:tc>
          <w:tcPr>
            <w:tcW w:w="7560" w:type="dxa"/>
            <w:gridSpan w:val="7"/>
            <w:tcBorders>
              <w:top w:val="single" w:color="auto" w:sz="4" w:space="0"/>
              <w:left w:val="single" w:color="auto" w:sz="4" w:space="0"/>
              <w:bottom w:val="single" w:color="auto" w:sz="4" w:space="0"/>
              <w:right w:val="single" w:color="auto" w:sz="4" w:space="0"/>
            </w:tcBorders>
            <w:noWrap/>
            <w:vAlign w:val="center"/>
          </w:tcPr>
          <w:p w14:paraId="35508FA5">
            <w:pPr>
              <w:rPr>
                <w:rFonts w:hint="eastAsia" w:ascii="宋体" w:hAnsi="宋体" w:eastAsia="宋体" w:cs="宋体"/>
                <w:color w:val="auto"/>
                <w:spacing w:val="7"/>
                <w:kern w:val="0"/>
                <w:sz w:val="21"/>
                <w:szCs w:val="21"/>
              </w:rPr>
            </w:pPr>
            <w:r>
              <w:rPr>
                <w:rFonts w:hint="eastAsia" w:ascii="宋体" w:hAnsi="宋体" w:eastAsia="宋体" w:cs="宋体"/>
                <w:b/>
                <w:bCs/>
                <w:color w:val="auto"/>
                <w:spacing w:val="7"/>
                <w:kern w:val="0"/>
                <w:sz w:val="21"/>
                <w:szCs w:val="21"/>
              </w:rPr>
              <w:t>人民币大写：</w:t>
            </w:r>
          </w:p>
        </w:tc>
        <w:tc>
          <w:tcPr>
            <w:tcW w:w="1059" w:type="dxa"/>
            <w:vMerge w:val="continue"/>
            <w:tcBorders>
              <w:left w:val="single" w:color="auto" w:sz="4" w:space="0"/>
              <w:bottom w:val="single" w:color="auto" w:sz="4" w:space="0"/>
              <w:right w:val="single" w:color="auto" w:sz="4" w:space="0"/>
            </w:tcBorders>
            <w:noWrap/>
            <w:vAlign w:val="center"/>
          </w:tcPr>
          <w:p w14:paraId="1B848B85">
            <w:pPr>
              <w:jc w:val="center"/>
              <w:rPr>
                <w:rFonts w:hint="eastAsia" w:ascii="宋体" w:hAnsi="宋体" w:eastAsia="宋体" w:cs="宋体"/>
                <w:color w:val="auto"/>
                <w:spacing w:val="7"/>
                <w:kern w:val="0"/>
                <w:sz w:val="21"/>
                <w:szCs w:val="21"/>
              </w:rPr>
            </w:pPr>
          </w:p>
        </w:tc>
      </w:tr>
    </w:tbl>
    <w:p w14:paraId="1D25DD2C">
      <w:pPr>
        <w:spacing w:before="162" w:line="224" w:lineRule="auto"/>
        <w:ind w:left="3994"/>
        <w:outlineLvl w:val="2"/>
        <w:rPr>
          <w:rFonts w:ascii="宋体" w:hAnsi="宋体" w:eastAsia="宋体" w:cs="宋体"/>
          <w:b/>
          <w:bCs/>
          <w:color w:val="auto"/>
          <w:spacing w:val="5"/>
          <w:sz w:val="31"/>
          <w:szCs w:val="31"/>
          <w:highlight w:val="none"/>
        </w:rPr>
      </w:pPr>
    </w:p>
    <w:p w14:paraId="4A7BC224">
      <w:pPr>
        <w:pStyle w:val="2"/>
        <w:spacing w:line="260" w:lineRule="auto"/>
        <w:rPr>
          <w:color w:val="auto"/>
          <w:highlight w:val="none"/>
        </w:rPr>
      </w:pPr>
    </w:p>
    <w:p w14:paraId="487C39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30D9CBA1">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1574AD86">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36C2E120">
      <w:pPr>
        <w:spacing w:before="92" w:line="220" w:lineRule="auto"/>
        <w:ind w:left="234"/>
        <w:rPr>
          <w:rFonts w:ascii="宋体" w:hAnsi="宋体" w:eastAsia="宋体" w:cs="宋体"/>
          <w:color w:val="auto"/>
          <w:sz w:val="28"/>
          <w:szCs w:val="28"/>
          <w:highlight w:val="none"/>
        </w:rPr>
      </w:pPr>
    </w:p>
    <w:p w14:paraId="19F97ED8">
      <w:pPr>
        <w:spacing w:line="220" w:lineRule="auto"/>
        <w:rPr>
          <w:rFonts w:ascii="宋体" w:hAnsi="宋体" w:eastAsia="宋体" w:cs="宋体"/>
          <w:color w:val="auto"/>
          <w:sz w:val="28"/>
          <w:szCs w:val="28"/>
          <w:highlight w:val="none"/>
        </w:rPr>
        <w:sectPr>
          <w:footerReference r:id="rId19" w:type="default"/>
          <w:pgSz w:w="11907" w:h="16839"/>
          <w:pgMar w:top="1423" w:right="1411" w:bottom="1154" w:left="1411" w:header="0" w:footer="988" w:gutter="0"/>
          <w:pgNumType w:fmt="decimal"/>
          <w:cols w:space="720" w:num="1"/>
        </w:sectPr>
      </w:pPr>
    </w:p>
    <w:p w14:paraId="32C01AAB">
      <w:pPr>
        <w:pStyle w:val="2"/>
        <w:rPr>
          <w:color w:val="auto"/>
        </w:rPr>
      </w:pPr>
    </w:p>
    <w:p w14:paraId="58537A7E">
      <w:pPr>
        <w:spacing w:before="64" w:line="224" w:lineRule="auto"/>
        <w:rPr>
          <w:rFonts w:hint="eastAsia"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62"/>
          <w:sz w:val="31"/>
          <w:szCs w:val="31"/>
          <w:highlight w:val="none"/>
          <w:lang w:val="en-US" w:eastAsia="zh-CN"/>
        </w:rPr>
        <w:t>7</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footerReference r:id="rId20" w:type="default"/>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rPr>
      </w:pPr>
      <w:r>
        <w:rPr>
          <w:rFonts w:hint="eastAsia" w:ascii="宋体" w:hAnsi="宋体" w:cs="宋体"/>
          <w:b/>
          <w:color w:val="auto"/>
          <w:sz w:val="28"/>
          <w:szCs w:val="28"/>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21"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6BEE">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FD84A">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6FD84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FA3A">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D3688"/>
    <w:multiLevelType w:val="singleLevel"/>
    <w:tmpl w:val="B6DD368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04C0647"/>
    <w:rsid w:val="01211AD4"/>
    <w:rsid w:val="017E0CD4"/>
    <w:rsid w:val="018054F1"/>
    <w:rsid w:val="01E44FDB"/>
    <w:rsid w:val="01FD609D"/>
    <w:rsid w:val="021138F7"/>
    <w:rsid w:val="02535CBD"/>
    <w:rsid w:val="02693733"/>
    <w:rsid w:val="026B1259"/>
    <w:rsid w:val="026C4FD1"/>
    <w:rsid w:val="02B40E52"/>
    <w:rsid w:val="02C941D1"/>
    <w:rsid w:val="03123DCA"/>
    <w:rsid w:val="039B3DC0"/>
    <w:rsid w:val="043A5387"/>
    <w:rsid w:val="04657F2A"/>
    <w:rsid w:val="04893C18"/>
    <w:rsid w:val="049A4077"/>
    <w:rsid w:val="049D76C3"/>
    <w:rsid w:val="04AE18D1"/>
    <w:rsid w:val="04E946B7"/>
    <w:rsid w:val="04EF6A01"/>
    <w:rsid w:val="052878D5"/>
    <w:rsid w:val="058C1C12"/>
    <w:rsid w:val="05B253F0"/>
    <w:rsid w:val="065B3392"/>
    <w:rsid w:val="06E17D3B"/>
    <w:rsid w:val="074B3407"/>
    <w:rsid w:val="074D5706"/>
    <w:rsid w:val="07A264E6"/>
    <w:rsid w:val="083420ED"/>
    <w:rsid w:val="08386081"/>
    <w:rsid w:val="083D71F3"/>
    <w:rsid w:val="085A5FF7"/>
    <w:rsid w:val="08F17FDE"/>
    <w:rsid w:val="095D5673"/>
    <w:rsid w:val="09C120A6"/>
    <w:rsid w:val="09CA0F5B"/>
    <w:rsid w:val="0A544CC8"/>
    <w:rsid w:val="0A6842D0"/>
    <w:rsid w:val="0A84735B"/>
    <w:rsid w:val="0A9450C5"/>
    <w:rsid w:val="0AC05EBA"/>
    <w:rsid w:val="0AD6392F"/>
    <w:rsid w:val="0C4A717C"/>
    <w:rsid w:val="0C6A584A"/>
    <w:rsid w:val="0D142033"/>
    <w:rsid w:val="0D660F9A"/>
    <w:rsid w:val="0E2D5254"/>
    <w:rsid w:val="0E342E47"/>
    <w:rsid w:val="0ED91C40"/>
    <w:rsid w:val="0F0E1BE1"/>
    <w:rsid w:val="0F346E76"/>
    <w:rsid w:val="0F9242C9"/>
    <w:rsid w:val="0FBF4528"/>
    <w:rsid w:val="0FD85A54"/>
    <w:rsid w:val="10166113"/>
    <w:rsid w:val="106D2640"/>
    <w:rsid w:val="10FE14EA"/>
    <w:rsid w:val="11194576"/>
    <w:rsid w:val="117874EE"/>
    <w:rsid w:val="12086AC4"/>
    <w:rsid w:val="12217B86"/>
    <w:rsid w:val="12665599"/>
    <w:rsid w:val="12753A2E"/>
    <w:rsid w:val="128819B3"/>
    <w:rsid w:val="12CD5618"/>
    <w:rsid w:val="12F40DF6"/>
    <w:rsid w:val="130B063D"/>
    <w:rsid w:val="13426006"/>
    <w:rsid w:val="13433B2C"/>
    <w:rsid w:val="13794896"/>
    <w:rsid w:val="13AA5959"/>
    <w:rsid w:val="13F57CF1"/>
    <w:rsid w:val="14BF5434"/>
    <w:rsid w:val="14DE621D"/>
    <w:rsid w:val="151B71F4"/>
    <w:rsid w:val="152D05F0"/>
    <w:rsid w:val="153B40D2"/>
    <w:rsid w:val="157D1577"/>
    <w:rsid w:val="159D39C7"/>
    <w:rsid w:val="15D867AD"/>
    <w:rsid w:val="161A5018"/>
    <w:rsid w:val="16DF591A"/>
    <w:rsid w:val="17626C76"/>
    <w:rsid w:val="177B16DD"/>
    <w:rsid w:val="18363C5F"/>
    <w:rsid w:val="186B1B5B"/>
    <w:rsid w:val="189A5633"/>
    <w:rsid w:val="18DC0363"/>
    <w:rsid w:val="195720DF"/>
    <w:rsid w:val="198F1879"/>
    <w:rsid w:val="19DE06F3"/>
    <w:rsid w:val="19E80F89"/>
    <w:rsid w:val="19F65454"/>
    <w:rsid w:val="1A310B82"/>
    <w:rsid w:val="1A7F5449"/>
    <w:rsid w:val="1AA50C28"/>
    <w:rsid w:val="1AD35795"/>
    <w:rsid w:val="1AE96D67"/>
    <w:rsid w:val="1AEC6857"/>
    <w:rsid w:val="1BDA1960"/>
    <w:rsid w:val="1C752FA8"/>
    <w:rsid w:val="1C901B90"/>
    <w:rsid w:val="1CB6711D"/>
    <w:rsid w:val="1CC47A8B"/>
    <w:rsid w:val="1CE14B63"/>
    <w:rsid w:val="1D2422D8"/>
    <w:rsid w:val="1D3A5FA0"/>
    <w:rsid w:val="1D835251"/>
    <w:rsid w:val="1D884F5D"/>
    <w:rsid w:val="1DEA3522"/>
    <w:rsid w:val="1E470974"/>
    <w:rsid w:val="1E731769"/>
    <w:rsid w:val="1EEB7551"/>
    <w:rsid w:val="1EFD1033"/>
    <w:rsid w:val="1F02489B"/>
    <w:rsid w:val="1F647304"/>
    <w:rsid w:val="1FB75686"/>
    <w:rsid w:val="1FF00B97"/>
    <w:rsid w:val="1FFE32B4"/>
    <w:rsid w:val="208D63E6"/>
    <w:rsid w:val="210A714C"/>
    <w:rsid w:val="215D400B"/>
    <w:rsid w:val="21D10C1B"/>
    <w:rsid w:val="21DA38AD"/>
    <w:rsid w:val="21E40288"/>
    <w:rsid w:val="21E62252"/>
    <w:rsid w:val="21FA7AAB"/>
    <w:rsid w:val="221C5C74"/>
    <w:rsid w:val="22284619"/>
    <w:rsid w:val="223B259E"/>
    <w:rsid w:val="22695E7F"/>
    <w:rsid w:val="22947F00"/>
    <w:rsid w:val="22B1460E"/>
    <w:rsid w:val="22D8603F"/>
    <w:rsid w:val="2318468D"/>
    <w:rsid w:val="238567AD"/>
    <w:rsid w:val="241430A6"/>
    <w:rsid w:val="243E45C7"/>
    <w:rsid w:val="244B0A92"/>
    <w:rsid w:val="24D9609E"/>
    <w:rsid w:val="25115838"/>
    <w:rsid w:val="25BC1449"/>
    <w:rsid w:val="25D23219"/>
    <w:rsid w:val="26297825"/>
    <w:rsid w:val="262B191A"/>
    <w:rsid w:val="269009DE"/>
    <w:rsid w:val="26914E82"/>
    <w:rsid w:val="26B648E9"/>
    <w:rsid w:val="26EA6341"/>
    <w:rsid w:val="26FC7E22"/>
    <w:rsid w:val="27856069"/>
    <w:rsid w:val="27AF30E6"/>
    <w:rsid w:val="27ED2532"/>
    <w:rsid w:val="282C4737"/>
    <w:rsid w:val="28553C8E"/>
    <w:rsid w:val="2890116A"/>
    <w:rsid w:val="28A569C3"/>
    <w:rsid w:val="291853E7"/>
    <w:rsid w:val="295B71C5"/>
    <w:rsid w:val="299802D6"/>
    <w:rsid w:val="299E3412"/>
    <w:rsid w:val="29BC30A8"/>
    <w:rsid w:val="2A0531B5"/>
    <w:rsid w:val="2A272F9E"/>
    <w:rsid w:val="2A41271B"/>
    <w:rsid w:val="2A4D10C0"/>
    <w:rsid w:val="2A521023"/>
    <w:rsid w:val="2A9C4169"/>
    <w:rsid w:val="2AB0164F"/>
    <w:rsid w:val="2AC82E3D"/>
    <w:rsid w:val="2ACE1AD5"/>
    <w:rsid w:val="2AD96DF8"/>
    <w:rsid w:val="2BC74EA2"/>
    <w:rsid w:val="2BD61589"/>
    <w:rsid w:val="2BEC3741"/>
    <w:rsid w:val="2BF0264B"/>
    <w:rsid w:val="2C475FE3"/>
    <w:rsid w:val="2C6B3A80"/>
    <w:rsid w:val="2CB01DDA"/>
    <w:rsid w:val="2CC969F8"/>
    <w:rsid w:val="2D1759B5"/>
    <w:rsid w:val="2D4D13D7"/>
    <w:rsid w:val="2D850B71"/>
    <w:rsid w:val="2DD6761F"/>
    <w:rsid w:val="2E220AB6"/>
    <w:rsid w:val="2E402CEA"/>
    <w:rsid w:val="2E731311"/>
    <w:rsid w:val="2F1523C9"/>
    <w:rsid w:val="2F2820FC"/>
    <w:rsid w:val="2F5E5B1E"/>
    <w:rsid w:val="2F650C5A"/>
    <w:rsid w:val="2F6A2714"/>
    <w:rsid w:val="2F835584"/>
    <w:rsid w:val="2FC55B9D"/>
    <w:rsid w:val="301937F3"/>
    <w:rsid w:val="306F7BE3"/>
    <w:rsid w:val="308B2942"/>
    <w:rsid w:val="30A13F14"/>
    <w:rsid w:val="30C61BCC"/>
    <w:rsid w:val="30F57DBC"/>
    <w:rsid w:val="310D15A9"/>
    <w:rsid w:val="31215055"/>
    <w:rsid w:val="314B20D2"/>
    <w:rsid w:val="318F0210"/>
    <w:rsid w:val="31AB0563"/>
    <w:rsid w:val="31DA524D"/>
    <w:rsid w:val="321626E0"/>
    <w:rsid w:val="3216623C"/>
    <w:rsid w:val="32454D73"/>
    <w:rsid w:val="327613D0"/>
    <w:rsid w:val="329F4483"/>
    <w:rsid w:val="32BA306B"/>
    <w:rsid w:val="32F47227"/>
    <w:rsid w:val="338813BB"/>
    <w:rsid w:val="33D453FD"/>
    <w:rsid w:val="33E35BA8"/>
    <w:rsid w:val="34CA0ED9"/>
    <w:rsid w:val="34F36D08"/>
    <w:rsid w:val="35170C48"/>
    <w:rsid w:val="356814A4"/>
    <w:rsid w:val="356D0868"/>
    <w:rsid w:val="359A5F52"/>
    <w:rsid w:val="362F5B1E"/>
    <w:rsid w:val="36B129D7"/>
    <w:rsid w:val="36C721FA"/>
    <w:rsid w:val="36D3294D"/>
    <w:rsid w:val="36E44B5A"/>
    <w:rsid w:val="370276D6"/>
    <w:rsid w:val="371F3DE4"/>
    <w:rsid w:val="37362EDC"/>
    <w:rsid w:val="377D1455"/>
    <w:rsid w:val="37A147F9"/>
    <w:rsid w:val="37B9762D"/>
    <w:rsid w:val="37CC5185"/>
    <w:rsid w:val="37D3697D"/>
    <w:rsid w:val="38163439"/>
    <w:rsid w:val="38523D46"/>
    <w:rsid w:val="388B36C0"/>
    <w:rsid w:val="38DE1A7D"/>
    <w:rsid w:val="39155068"/>
    <w:rsid w:val="396E2E01"/>
    <w:rsid w:val="39934616"/>
    <w:rsid w:val="399F745E"/>
    <w:rsid w:val="39A20CCC"/>
    <w:rsid w:val="39A24859"/>
    <w:rsid w:val="39D52E80"/>
    <w:rsid w:val="39D709A6"/>
    <w:rsid w:val="39D864CC"/>
    <w:rsid w:val="39DE1D35"/>
    <w:rsid w:val="39F96B6F"/>
    <w:rsid w:val="3A0A0D7C"/>
    <w:rsid w:val="3A1F40FB"/>
    <w:rsid w:val="3A59463F"/>
    <w:rsid w:val="3A5B15D7"/>
    <w:rsid w:val="3A7C154E"/>
    <w:rsid w:val="3ABD5DEE"/>
    <w:rsid w:val="3AD66EB0"/>
    <w:rsid w:val="3ADB2718"/>
    <w:rsid w:val="3AE72E6B"/>
    <w:rsid w:val="3AF4787E"/>
    <w:rsid w:val="3B4C0F20"/>
    <w:rsid w:val="3B862684"/>
    <w:rsid w:val="3B9A7EDD"/>
    <w:rsid w:val="3BAC1555"/>
    <w:rsid w:val="3BCB0097"/>
    <w:rsid w:val="3BDA29D0"/>
    <w:rsid w:val="3CE84C78"/>
    <w:rsid w:val="3CF655E7"/>
    <w:rsid w:val="3D35270E"/>
    <w:rsid w:val="3D5D5666"/>
    <w:rsid w:val="3D6F0EF6"/>
    <w:rsid w:val="3DBC2580"/>
    <w:rsid w:val="3E157CEF"/>
    <w:rsid w:val="3E8F1850"/>
    <w:rsid w:val="3EAD43CC"/>
    <w:rsid w:val="3ED5122D"/>
    <w:rsid w:val="3EDA0518"/>
    <w:rsid w:val="3F4B7F0F"/>
    <w:rsid w:val="3F627E44"/>
    <w:rsid w:val="3FDD483D"/>
    <w:rsid w:val="40022383"/>
    <w:rsid w:val="400E2C48"/>
    <w:rsid w:val="401D732F"/>
    <w:rsid w:val="404E587F"/>
    <w:rsid w:val="40B437EF"/>
    <w:rsid w:val="40D45C40"/>
    <w:rsid w:val="41197AF6"/>
    <w:rsid w:val="413C4D93"/>
    <w:rsid w:val="417D0085"/>
    <w:rsid w:val="425608D6"/>
    <w:rsid w:val="42E3660E"/>
    <w:rsid w:val="42E934F8"/>
    <w:rsid w:val="42F51E9D"/>
    <w:rsid w:val="430A3B9B"/>
    <w:rsid w:val="43762FDE"/>
    <w:rsid w:val="43993170"/>
    <w:rsid w:val="43B70366"/>
    <w:rsid w:val="44823C05"/>
    <w:rsid w:val="44B15770"/>
    <w:rsid w:val="44B518E4"/>
    <w:rsid w:val="44F763A1"/>
    <w:rsid w:val="44FE33C3"/>
    <w:rsid w:val="45C81AEB"/>
    <w:rsid w:val="45D16C06"/>
    <w:rsid w:val="460A5C60"/>
    <w:rsid w:val="468052F1"/>
    <w:rsid w:val="471A1ED2"/>
    <w:rsid w:val="47431429"/>
    <w:rsid w:val="475A2C17"/>
    <w:rsid w:val="475E6263"/>
    <w:rsid w:val="47CC58C3"/>
    <w:rsid w:val="480C3F11"/>
    <w:rsid w:val="481D7ECC"/>
    <w:rsid w:val="48592ECE"/>
    <w:rsid w:val="485F7486"/>
    <w:rsid w:val="48992953"/>
    <w:rsid w:val="48A15864"/>
    <w:rsid w:val="48B21785"/>
    <w:rsid w:val="48BB1493"/>
    <w:rsid w:val="492434DC"/>
    <w:rsid w:val="49281B4A"/>
    <w:rsid w:val="49521DF7"/>
    <w:rsid w:val="49843F7B"/>
    <w:rsid w:val="49A32653"/>
    <w:rsid w:val="49D7054F"/>
    <w:rsid w:val="4A286FFC"/>
    <w:rsid w:val="4A857FAB"/>
    <w:rsid w:val="4ACE54AE"/>
    <w:rsid w:val="4B490FD8"/>
    <w:rsid w:val="4BBF74EC"/>
    <w:rsid w:val="4BCB7C3F"/>
    <w:rsid w:val="4BE87E41"/>
    <w:rsid w:val="4BFC429C"/>
    <w:rsid w:val="4C1B42D7"/>
    <w:rsid w:val="4C29271E"/>
    <w:rsid w:val="4C5639AD"/>
    <w:rsid w:val="4C9170DB"/>
    <w:rsid w:val="4D225F85"/>
    <w:rsid w:val="4D714B51"/>
    <w:rsid w:val="4D84279B"/>
    <w:rsid w:val="4DAF5517"/>
    <w:rsid w:val="4DC66910"/>
    <w:rsid w:val="4E2D4BE1"/>
    <w:rsid w:val="4EC2357B"/>
    <w:rsid w:val="4EDD03B5"/>
    <w:rsid w:val="4F2B5DCC"/>
    <w:rsid w:val="4F4B17C3"/>
    <w:rsid w:val="4F7E2395"/>
    <w:rsid w:val="4F806F93"/>
    <w:rsid w:val="4F860A4D"/>
    <w:rsid w:val="4FA26F09"/>
    <w:rsid w:val="4FD86DCF"/>
    <w:rsid w:val="50925FFD"/>
    <w:rsid w:val="513B13C3"/>
    <w:rsid w:val="514A7858"/>
    <w:rsid w:val="514F30C0"/>
    <w:rsid w:val="518C60C3"/>
    <w:rsid w:val="51A11B6E"/>
    <w:rsid w:val="51BF1FF4"/>
    <w:rsid w:val="51C0738A"/>
    <w:rsid w:val="51D75590"/>
    <w:rsid w:val="520B6FE7"/>
    <w:rsid w:val="526B217C"/>
    <w:rsid w:val="52733715"/>
    <w:rsid w:val="52892D6A"/>
    <w:rsid w:val="532A7941"/>
    <w:rsid w:val="535E5125"/>
    <w:rsid w:val="53642E53"/>
    <w:rsid w:val="536A2433"/>
    <w:rsid w:val="536F35A6"/>
    <w:rsid w:val="537B1F4B"/>
    <w:rsid w:val="538928BA"/>
    <w:rsid w:val="53B86CFB"/>
    <w:rsid w:val="53D079E3"/>
    <w:rsid w:val="54016B1C"/>
    <w:rsid w:val="54125B38"/>
    <w:rsid w:val="54732FDB"/>
    <w:rsid w:val="549459BA"/>
    <w:rsid w:val="54F71AA5"/>
    <w:rsid w:val="5503044A"/>
    <w:rsid w:val="55197C6D"/>
    <w:rsid w:val="553B7BE4"/>
    <w:rsid w:val="55711857"/>
    <w:rsid w:val="559C45FD"/>
    <w:rsid w:val="55F47A7B"/>
    <w:rsid w:val="563034C0"/>
    <w:rsid w:val="56570A4D"/>
    <w:rsid w:val="567E247E"/>
    <w:rsid w:val="56927CD7"/>
    <w:rsid w:val="56C105BC"/>
    <w:rsid w:val="56C67981"/>
    <w:rsid w:val="56E55706"/>
    <w:rsid w:val="576176AA"/>
    <w:rsid w:val="577E64AD"/>
    <w:rsid w:val="57A06424"/>
    <w:rsid w:val="581A61D6"/>
    <w:rsid w:val="583628E4"/>
    <w:rsid w:val="588E2720"/>
    <w:rsid w:val="58B57DDB"/>
    <w:rsid w:val="58F509F1"/>
    <w:rsid w:val="595219A0"/>
    <w:rsid w:val="596040BD"/>
    <w:rsid w:val="59CA7788"/>
    <w:rsid w:val="5A0233C6"/>
    <w:rsid w:val="5A3D7F5A"/>
    <w:rsid w:val="5A8D5520"/>
    <w:rsid w:val="5ACC4024"/>
    <w:rsid w:val="5B044F1C"/>
    <w:rsid w:val="5B2E3D47"/>
    <w:rsid w:val="5B4041A6"/>
    <w:rsid w:val="5B413A7A"/>
    <w:rsid w:val="5B61411C"/>
    <w:rsid w:val="5B773940"/>
    <w:rsid w:val="5B885E37"/>
    <w:rsid w:val="5BA01F3D"/>
    <w:rsid w:val="5BA65FD3"/>
    <w:rsid w:val="5C0F5926"/>
    <w:rsid w:val="5C2A0D3A"/>
    <w:rsid w:val="5C2E04A2"/>
    <w:rsid w:val="5C675762"/>
    <w:rsid w:val="5CD01559"/>
    <w:rsid w:val="5CD64696"/>
    <w:rsid w:val="5CF50FC0"/>
    <w:rsid w:val="5D30024A"/>
    <w:rsid w:val="5D4C3B50"/>
    <w:rsid w:val="5D5C2DED"/>
    <w:rsid w:val="5D973E25"/>
    <w:rsid w:val="5D9B28C6"/>
    <w:rsid w:val="5D9C58DF"/>
    <w:rsid w:val="5DA21958"/>
    <w:rsid w:val="5DD961EC"/>
    <w:rsid w:val="5E145476"/>
    <w:rsid w:val="5E371164"/>
    <w:rsid w:val="5E68756F"/>
    <w:rsid w:val="5EBD2437"/>
    <w:rsid w:val="5EC24ED2"/>
    <w:rsid w:val="5ECA1FD8"/>
    <w:rsid w:val="5F0C439F"/>
    <w:rsid w:val="5F3A715E"/>
    <w:rsid w:val="5F4B136B"/>
    <w:rsid w:val="5F750196"/>
    <w:rsid w:val="5F8108E9"/>
    <w:rsid w:val="5FAD5B82"/>
    <w:rsid w:val="5FBB029F"/>
    <w:rsid w:val="5FF92B75"/>
    <w:rsid w:val="60B13450"/>
    <w:rsid w:val="60E20A99"/>
    <w:rsid w:val="614E0C9F"/>
    <w:rsid w:val="617701F5"/>
    <w:rsid w:val="6186668A"/>
    <w:rsid w:val="623B7475"/>
    <w:rsid w:val="62976675"/>
    <w:rsid w:val="62B45479"/>
    <w:rsid w:val="62D41677"/>
    <w:rsid w:val="62E556E4"/>
    <w:rsid w:val="631D6E2D"/>
    <w:rsid w:val="635D3FBE"/>
    <w:rsid w:val="636649C5"/>
    <w:rsid w:val="637E669F"/>
    <w:rsid w:val="63B34237"/>
    <w:rsid w:val="64382184"/>
    <w:rsid w:val="64430863"/>
    <w:rsid w:val="6481138B"/>
    <w:rsid w:val="649317EA"/>
    <w:rsid w:val="652A57BF"/>
    <w:rsid w:val="654943D9"/>
    <w:rsid w:val="656D67BC"/>
    <w:rsid w:val="65791844"/>
    <w:rsid w:val="65DA51F7"/>
    <w:rsid w:val="65F77B57"/>
    <w:rsid w:val="662326FA"/>
    <w:rsid w:val="66344907"/>
    <w:rsid w:val="66383CCB"/>
    <w:rsid w:val="6679056C"/>
    <w:rsid w:val="66B26720"/>
    <w:rsid w:val="66CB4B3F"/>
    <w:rsid w:val="66D6776C"/>
    <w:rsid w:val="673C3302"/>
    <w:rsid w:val="67B11F87"/>
    <w:rsid w:val="67BA52E0"/>
    <w:rsid w:val="67D839B8"/>
    <w:rsid w:val="680447AD"/>
    <w:rsid w:val="685F7C35"/>
    <w:rsid w:val="68D22427"/>
    <w:rsid w:val="695B21AB"/>
    <w:rsid w:val="699D3E7F"/>
    <w:rsid w:val="69EC6E3D"/>
    <w:rsid w:val="6A171182"/>
    <w:rsid w:val="6A1D1B56"/>
    <w:rsid w:val="6A632C34"/>
    <w:rsid w:val="6AB44268"/>
    <w:rsid w:val="6AB9362D"/>
    <w:rsid w:val="6AD31DAB"/>
    <w:rsid w:val="6B054AC4"/>
    <w:rsid w:val="6B7D28AC"/>
    <w:rsid w:val="6BDF5315"/>
    <w:rsid w:val="6C384A25"/>
    <w:rsid w:val="6C53185F"/>
    <w:rsid w:val="6C8C6B1F"/>
    <w:rsid w:val="6C9A123C"/>
    <w:rsid w:val="6CAE6A95"/>
    <w:rsid w:val="6D194857"/>
    <w:rsid w:val="6DD861DA"/>
    <w:rsid w:val="6E846B68"/>
    <w:rsid w:val="6E860F64"/>
    <w:rsid w:val="6F5D56C1"/>
    <w:rsid w:val="6F651FD5"/>
    <w:rsid w:val="6FB940CF"/>
    <w:rsid w:val="6FD9207B"/>
    <w:rsid w:val="70093638"/>
    <w:rsid w:val="709976F3"/>
    <w:rsid w:val="70C96594"/>
    <w:rsid w:val="71265794"/>
    <w:rsid w:val="717E2EDA"/>
    <w:rsid w:val="718524BB"/>
    <w:rsid w:val="72036B4E"/>
    <w:rsid w:val="722F2426"/>
    <w:rsid w:val="723932A5"/>
    <w:rsid w:val="72D74F98"/>
    <w:rsid w:val="72EC6B7F"/>
    <w:rsid w:val="72F22421"/>
    <w:rsid w:val="731743ED"/>
    <w:rsid w:val="73937D81"/>
    <w:rsid w:val="73DC038C"/>
    <w:rsid w:val="73EC4A73"/>
    <w:rsid w:val="74082F2F"/>
    <w:rsid w:val="74744A68"/>
    <w:rsid w:val="74AB4CFC"/>
    <w:rsid w:val="74B66881"/>
    <w:rsid w:val="75417E31"/>
    <w:rsid w:val="75706FDE"/>
    <w:rsid w:val="75752214"/>
    <w:rsid w:val="75784853"/>
    <w:rsid w:val="75AB5B04"/>
    <w:rsid w:val="75BA5FEB"/>
    <w:rsid w:val="761E4C8C"/>
    <w:rsid w:val="76270827"/>
    <w:rsid w:val="76662934"/>
    <w:rsid w:val="766823AB"/>
    <w:rsid w:val="768F28F0"/>
    <w:rsid w:val="76D11CFE"/>
    <w:rsid w:val="76E00193"/>
    <w:rsid w:val="770C71DA"/>
    <w:rsid w:val="775070C7"/>
    <w:rsid w:val="775841CD"/>
    <w:rsid w:val="77DF1FFC"/>
    <w:rsid w:val="789456D9"/>
    <w:rsid w:val="78A0407E"/>
    <w:rsid w:val="78A51694"/>
    <w:rsid w:val="78DB3308"/>
    <w:rsid w:val="78E33F6B"/>
    <w:rsid w:val="791B3704"/>
    <w:rsid w:val="794A5D98"/>
    <w:rsid w:val="796E1A86"/>
    <w:rsid w:val="799A6D1F"/>
    <w:rsid w:val="79E306C6"/>
    <w:rsid w:val="7A2230A7"/>
    <w:rsid w:val="7A3E3B4E"/>
    <w:rsid w:val="7A476A91"/>
    <w:rsid w:val="7A5076C4"/>
    <w:rsid w:val="7A546666"/>
    <w:rsid w:val="7A7644E8"/>
    <w:rsid w:val="7A882894"/>
    <w:rsid w:val="7A903C7E"/>
    <w:rsid w:val="7A996FD7"/>
    <w:rsid w:val="7AEB40F4"/>
    <w:rsid w:val="7AF75AAB"/>
    <w:rsid w:val="7AF83CFD"/>
    <w:rsid w:val="7B1B717F"/>
    <w:rsid w:val="7B845591"/>
    <w:rsid w:val="7CA35EEB"/>
    <w:rsid w:val="7CAD1618"/>
    <w:rsid w:val="7CC52305"/>
    <w:rsid w:val="7CDB7433"/>
    <w:rsid w:val="7D020E63"/>
    <w:rsid w:val="7D5C044C"/>
    <w:rsid w:val="7D676F18"/>
    <w:rsid w:val="7D6C452F"/>
    <w:rsid w:val="7DAF3A78"/>
    <w:rsid w:val="7E326A3A"/>
    <w:rsid w:val="7EAB72D9"/>
    <w:rsid w:val="7F804C40"/>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6"/>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6">
    <w:name w:val="*正文"/>
    <w:basedOn w:val="1"/>
    <w:autoRedefine/>
    <w:qFormat/>
    <w:uiPriority w:val="0"/>
    <w:rPr>
      <w:rFonts w:ascii="宋体" w:hAnsi="宋体"/>
      <w:kern w:val="0"/>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 w:type="character" w:customStyle="1" w:styleId="11">
    <w:name w:val="NormalCharacter"/>
    <w:semiHidden/>
    <w:qFormat/>
    <w:uiPriority w:val="0"/>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10936</Words>
  <Characters>11787</Characters>
  <TotalTime>3</TotalTime>
  <ScaleCrop>false</ScaleCrop>
  <LinksUpToDate>false</LinksUpToDate>
  <CharactersWithSpaces>11976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Administrator</cp:lastModifiedBy>
  <cp:lastPrinted>2025-04-30T06:28:00Z</cp:lastPrinted>
  <dcterms:modified xsi:type="dcterms:W3CDTF">2025-05-08T08:37:25Z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3F42EA554B0D4953A7FDA4826802A269_12</vt:lpwstr>
  </property>
  <property fmtid="{D5CDD505-2E9C-101B-9397-08002B2CF9AE}" pid="6" name="KSOTemplateDocerSaveRecord">
    <vt:lpwstr>eyJoZGlkIjoiZTRiYjdhMDFjMDMyNTFkMzk4MTYzZjUzMzg1N2ZjMDgifQ==</vt:lpwstr>
  </property>
</Properties>
</file>