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201CB">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启东市自来水厂有限公司球墨配件2025-2026年度采购项目</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启东市自来水厂有限公司的启东市自来水厂有限公司球墨配件2025-2026年度采购项目即将实施，现就该项目进行市场询价调研。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一、采购需求：详见附件《启东市自来水厂有限公司球墨配件2025-2026年度采购项目市场询价表》。</w:t>
      </w:r>
    </w:p>
    <w:p w14:paraId="61316EBE">
      <w:pPr>
        <w:pStyle w:val="1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1年。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货商应根据采购人通知要求的时间、批次及时供货，不得影响供货进度。若供货方不能按规定的时间供货的，在采购方同意供货方延期交货时，每逾期一天，供货方应按该批采购标的额的万分之四向采购方支付滞纳金，逾期超过15天或在供货期内逾期交货次数累计超过2次的，采购方有权终止本合同，并没收全额履约保证金，并有权要求供货方承担合同价的20%作为违约金</w:t>
      </w:r>
      <w:r>
        <w:rPr>
          <w:rFonts w:hint="eastAsia" w:ascii="宋体" w:hAnsi="宋体" w:eastAsia="宋体" w:cs="宋体"/>
          <w:color w:val="auto"/>
          <w:sz w:val="24"/>
          <w:szCs w:val="24"/>
          <w:highlight w:val="none"/>
        </w:rPr>
        <w:t>。</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2"/>
          <w:rFonts w:hint="default" w:ascii="宋体" w:hAnsi="宋体" w:eastAsia="宋体" w:cs="宋体"/>
          <w:color w:val="auto"/>
          <w:kern w:val="0"/>
          <w:sz w:val="24"/>
          <w:szCs w:val="24"/>
          <w:highlight w:val="none"/>
          <w:lang w:val="en-US" w:eastAsia="zh-CN"/>
        </w:rPr>
      </w:pPr>
      <w:r>
        <w:rPr>
          <w:rStyle w:val="32"/>
          <w:rFonts w:hint="eastAsia" w:ascii="宋体" w:hAnsi="宋体" w:eastAsia="宋体" w:cs="宋体"/>
          <w:color w:val="auto"/>
          <w:kern w:val="0"/>
          <w:sz w:val="24"/>
          <w:szCs w:val="24"/>
          <w:highlight w:val="none"/>
          <w:lang w:val="en-US" w:eastAsia="zh-CN"/>
        </w:rPr>
        <w:t>2</w:t>
      </w:r>
      <w:r>
        <w:rPr>
          <w:rStyle w:val="32"/>
          <w:rFonts w:hint="eastAsia" w:ascii="宋体" w:hAnsi="宋体" w:eastAsia="宋体" w:cs="宋体"/>
          <w:color w:val="auto"/>
          <w:kern w:val="0"/>
          <w:sz w:val="24"/>
          <w:szCs w:val="24"/>
          <w:highlight w:val="none"/>
        </w:rPr>
        <w:t>.</w:t>
      </w:r>
      <w:r>
        <w:rPr>
          <w:rStyle w:val="32"/>
          <w:rFonts w:hint="eastAsia" w:ascii="宋体" w:hAnsi="宋体" w:eastAsia="宋体" w:cs="宋体"/>
          <w:color w:val="auto"/>
          <w:kern w:val="0"/>
          <w:sz w:val="24"/>
          <w:szCs w:val="24"/>
          <w:highlight w:val="none"/>
          <w:lang w:val="en-US" w:eastAsia="zh-CN"/>
        </w:rPr>
        <w:t>质保要求：2年。</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32"/>
          <w:rFonts w:hint="eastAsia" w:ascii="宋体" w:hAnsi="宋体" w:eastAsia="宋体" w:cs="宋体"/>
          <w:color w:val="auto"/>
          <w:kern w:val="0"/>
          <w:sz w:val="24"/>
          <w:szCs w:val="24"/>
          <w:highlight w:val="none"/>
          <w:lang w:val="en-US" w:eastAsia="zh-CN"/>
        </w:rPr>
        <w:t>3.</w:t>
      </w:r>
      <w:r>
        <w:rPr>
          <w:rStyle w:val="32"/>
          <w:rFonts w:hint="eastAsia" w:ascii="宋体" w:hAnsi="宋体" w:eastAsia="宋体" w:cs="宋体"/>
          <w:color w:val="auto"/>
          <w:kern w:val="0"/>
          <w:sz w:val="24"/>
          <w:szCs w:val="24"/>
          <w:highlight w:val="none"/>
        </w:rPr>
        <w:t>参与报价的单位需将</w:t>
      </w:r>
      <w:r>
        <w:rPr>
          <w:rStyle w:val="32"/>
          <w:rFonts w:hint="eastAsia" w:ascii="宋体" w:hAnsi="宋体" w:eastAsia="宋体" w:cs="宋体"/>
          <w:color w:val="auto"/>
          <w:kern w:val="0"/>
          <w:sz w:val="24"/>
          <w:szCs w:val="24"/>
          <w:highlight w:val="none"/>
          <w:lang w:val="en-US" w:eastAsia="zh-CN"/>
        </w:rPr>
        <w:t>有效的</w:t>
      </w:r>
      <w:r>
        <w:rPr>
          <w:rStyle w:val="32"/>
          <w:rFonts w:hint="eastAsia" w:ascii="宋体" w:hAnsi="宋体" w:eastAsia="宋体" w:cs="宋体"/>
          <w:b/>
          <w:bCs/>
          <w:color w:val="auto"/>
          <w:kern w:val="0"/>
          <w:sz w:val="24"/>
          <w:szCs w:val="24"/>
          <w:highlight w:val="none"/>
        </w:rPr>
        <w:t>营业执照复印件和市场询价</w:t>
      </w:r>
      <w:r>
        <w:rPr>
          <w:rStyle w:val="32"/>
          <w:rFonts w:hint="eastAsia" w:ascii="宋体" w:hAnsi="宋体" w:eastAsia="宋体" w:cs="宋体"/>
          <w:b/>
          <w:bCs/>
          <w:color w:val="auto"/>
          <w:kern w:val="0"/>
          <w:sz w:val="24"/>
          <w:szCs w:val="24"/>
          <w:highlight w:val="none"/>
          <w:lang w:val="en-US" w:eastAsia="zh-CN"/>
        </w:rPr>
        <w:t>报价单</w:t>
      </w:r>
      <w:r>
        <w:rPr>
          <w:rStyle w:val="32"/>
          <w:rFonts w:hint="eastAsia" w:ascii="宋体" w:hAnsi="宋体" w:eastAsia="宋体" w:cs="宋体"/>
          <w:color w:val="auto"/>
          <w:kern w:val="0"/>
          <w:sz w:val="24"/>
          <w:szCs w:val="24"/>
          <w:highlight w:val="none"/>
          <w:lang w:val="en-US" w:eastAsia="zh-CN"/>
        </w:rPr>
        <w:t>（含汇总表及分项报价表）</w:t>
      </w:r>
      <w:r>
        <w:rPr>
          <w:rStyle w:val="32"/>
          <w:rFonts w:hint="eastAsia" w:ascii="宋体" w:hAnsi="宋体" w:eastAsia="宋体" w:cs="宋体"/>
          <w:color w:val="auto"/>
          <w:kern w:val="0"/>
          <w:sz w:val="24"/>
          <w:szCs w:val="24"/>
          <w:highlight w:val="none"/>
        </w:rPr>
        <w:t>于202</w:t>
      </w:r>
      <w:r>
        <w:rPr>
          <w:rStyle w:val="32"/>
          <w:rFonts w:hint="eastAsia" w:ascii="宋体" w:hAnsi="宋体" w:eastAsia="宋体" w:cs="宋体"/>
          <w:color w:val="auto"/>
          <w:kern w:val="0"/>
          <w:sz w:val="24"/>
          <w:szCs w:val="24"/>
          <w:highlight w:val="none"/>
          <w:lang w:val="en-US" w:eastAsia="zh-CN"/>
        </w:rPr>
        <w:t>5</w:t>
      </w:r>
      <w:r>
        <w:rPr>
          <w:rStyle w:val="32"/>
          <w:rFonts w:hint="eastAsia" w:ascii="宋体" w:hAnsi="宋体" w:eastAsia="宋体" w:cs="宋体"/>
          <w:color w:val="auto"/>
          <w:kern w:val="0"/>
          <w:sz w:val="24"/>
          <w:szCs w:val="24"/>
          <w:highlight w:val="none"/>
        </w:rPr>
        <w:t>年</w:t>
      </w:r>
      <w:r>
        <w:rPr>
          <w:rStyle w:val="32"/>
          <w:rFonts w:hint="eastAsia" w:ascii="宋体" w:hAnsi="宋体" w:eastAsia="宋体" w:cs="宋体"/>
          <w:color w:val="auto"/>
          <w:kern w:val="0"/>
          <w:sz w:val="24"/>
          <w:szCs w:val="24"/>
          <w:highlight w:val="none"/>
          <w:lang w:val="en-US" w:eastAsia="zh-CN"/>
        </w:rPr>
        <w:t>9</w:t>
      </w:r>
      <w:r>
        <w:rPr>
          <w:rStyle w:val="32"/>
          <w:rFonts w:hint="eastAsia" w:ascii="宋体" w:hAnsi="宋体" w:eastAsia="宋体" w:cs="宋体"/>
          <w:color w:val="auto"/>
          <w:kern w:val="0"/>
          <w:sz w:val="24"/>
          <w:szCs w:val="24"/>
          <w:highlight w:val="none"/>
        </w:rPr>
        <w:t>月</w:t>
      </w:r>
      <w:r>
        <w:rPr>
          <w:rStyle w:val="32"/>
          <w:rFonts w:hint="eastAsia" w:ascii="宋体" w:hAnsi="宋体" w:eastAsia="宋体" w:cs="宋体"/>
          <w:color w:val="auto"/>
          <w:kern w:val="0"/>
          <w:sz w:val="24"/>
          <w:szCs w:val="24"/>
          <w:highlight w:val="none"/>
          <w:lang w:val="en-US" w:eastAsia="zh-CN"/>
        </w:rPr>
        <w:t>29</w:t>
      </w:r>
      <w:r>
        <w:rPr>
          <w:rStyle w:val="32"/>
          <w:rFonts w:hint="eastAsia" w:ascii="宋体" w:hAnsi="宋体" w:eastAsia="宋体" w:cs="宋体"/>
          <w:color w:val="auto"/>
          <w:kern w:val="0"/>
          <w:sz w:val="24"/>
          <w:szCs w:val="24"/>
          <w:highlight w:val="none"/>
        </w:rPr>
        <w:t>日17:00</w:t>
      </w:r>
      <w:r>
        <w:rPr>
          <w:rStyle w:val="32"/>
          <w:rFonts w:hint="eastAsia" w:ascii="宋体" w:hAnsi="宋体" w:eastAsia="宋体" w:cs="宋体"/>
          <w:color w:val="auto"/>
          <w:kern w:val="0"/>
          <w:sz w:val="24"/>
          <w:szCs w:val="24"/>
          <w:highlight w:val="none"/>
        </w:rPr>
        <w:t>前</w:t>
      </w:r>
      <w:r>
        <w:rPr>
          <w:rStyle w:val="32"/>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送或寄或者电子邮箱（以邮件收到时间为准）。送或寄的地址为：</w:t>
      </w:r>
      <w:r>
        <w:rPr>
          <w:rFonts w:hint="eastAsia" w:ascii="宋体" w:hAnsi="宋体" w:eastAsia="宋体" w:cs="宋体"/>
          <w:color w:val="auto"/>
          <w:sz w:val="24"/>
          <w:szCs w:val="24"/>
          <w:highlight w:val="none"/>
          <w:u w:val="single"/>
          <w:lang w:val="en-US" w:eastAsia="zh-CN"/>
        </w:rPr>
        <w:t>江苏天宏华信工程投资管理咨询有限公司（启东市南苑西路1168号国动产业园2号楼402室）</w:t>
      </w:r>
      <w:r>
        <w:rPr>
          <w:rFonts w:hint="eastAsia" w:ascii="宋体" w:hAnsi="宋体" w:eastAsia="宋体" w:cs="宋体"/>
          <w:color w:val="auto"/>
          <w:sz w:val="24"/>
          <w:szCs w:val="24"/>
          <w:highlight w:val="none"/>
        </w:rPr>
        <w:t>，</w:t>
      </w:r>
      <w:r>
        <w:rPr>
          <w:rStyle w:val="32"/>
          <w:rFonts w:hint="eastAsia" w:ascii="宋体" w:hAnsi="宋体" w:eastAsia="宋体" w:cs="宋体"/>
          <w:color w:val="auto"/>
          <w:sz w:val="24"/>
          <w:szCs w:val="24"/>
        </w:rPr>
        <w:t>联系人：</w:t>
      </w:r>
      <w:r>
        <w:rPr>
          <w:rStyle w:val="32"/>
          <w:rFonts w:hint="eastAsia" w:ascii="宋体" w:hAnsi="宋体" w:eastAsia="宋体" w:cs="宋体"/>
          <w:color w:val="auto"/>
          <w:sz w:val="24"/>
          <w:szCs w:val="24"/>
          <w:u w:val="single"/>
        </w:rPr>
        <w:t xml:space="preserve"> </w:t>
      </w:r>
      <w:r>
        <w:rPr>
          <w:rStyle w:val="32"/>
          <w:rFonts w:hint="eastAsia" w:ascii="宋体" w:hAnsi="宋体" w:eastAsia="宋体" w:cs="宋体"/>
          <w:color w:val="auto"/>
          <w:sz w:val="24"/>
          <w:szCs w:val="24"/>
          <w:u w:val="single"/>
          <w:lang w:eastAsia="zh-CN"/>
        </w:rPr>
        <w:t>杨女士</w:t>
      </w:r>
      <w:r>
        <w:rPr>
          <w:rStyle w:val="32"/>
          <w:rFonts w:hint="eastAsia" w:ascii="宋体" w:hAnsi="宋体" w:eastAsia="宋体" w:cs="宋体"/>
          <w:color w:val="auto"/>
          <w:sz w:val="24"/>
          <w:szCs w:val="24"/>
        </w:rPr>
        <w:t>，联系电话：</w:t>
      </w:r>
      <w:r>
        <w:rPr>
          <w:rStyle w:val="32"/>
          <w:rFonts w:hint="eastAsia" w:ascii="宋体" w:hAnsi="宋体" w:eastAsia="宋体" w:cs="宋体"/>
          <w:color w:val="auto"/>
          <w:sz w:val="24"/>
          <w:szCs w:val="24"/>
          <w:u w:val="single"/>
          <w:lang w:val="en-US" w:eastAsia="zh-CN"/>
        </w:rPr>
        <w:t>0513-83248588</w:t>
      </w:r>
      <w:r>
        <w:rPr>
          <w:rStyle w:val="32"/>
          <w:rFonts w:hint="eastAsia" w:ascii="宋体" w:hAnsi="宋体" w:eastAsia="宋体" w:cs="宋体"/>
          <w:color w:val="auto"/>
          <w:sz w:val="24"/>
          <w:szCs w:val="24"/>
        </w:rPr>
        <w:t>,电子邮箱地址为：</w:t>
      </w:r>
      <w:r>
        <w:rPr>
          <w:rStyle w:val="32"/>
          <w:rFonts w:hint="eastAsia" w:ascii="宋体" w:hAnsi="宋体" w:eastAsia="宋体" w:cs="宋体"/>
          <w:color w:val="auto"/>
          <w:sz w:val="24"/>
          <w:szCs w:val="24"/>
          <w:u w:val="single"/>
          <w:lang w:val="en-US" w:eastAsia="zh-CN"/>
        </w:rPr>
        <w:t>240876395@qq.com</w:t>
      </w:r>
      <w:r>
        <w:rPr>
          <w:rFonts w:hint="eastAsia" w:ascii="宋体" w:hAnsi="宋体" w:eastAsia="宋体" w:cs="宋体"/>
          <w:color w:val="auto"/>
          <w:sz w:val="24"/>
          <w:szCs w:val="24"/>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2"/>
          <w:rFonts w:hint="eastAsia" w:ascii="宋体" w:hAnsi="宋体" w:eastAsia="宋体" w:cs="宋体"/>
          <w:color w:val="auto"/>
          <w:kern w:val="0"/>
          <w:sz w:val="24"/>
          <w:szCs w:val="24"/>
          <w:highlight w:val="none"/>
        </w:rPr>
      </w:pPr>
      <w:r>
        <w:rPr>
          <w:rStyle w:val="32"/>
          <w:rFonts w:hint="eastAsia" w:ascii="宋体" w:hAnsi="宋体" w:eastAsia="宋体" w:cs="宋体"/>
          <w:color w:val="auto"/>
          <w:kern w:val="0"/>
          <w:sz w:val="24"/>
          <w:szCs w:val="24"/>
          <w:highlight w:val="none"/>
          <w:lang w:val="en-US" w:eastAsia="zh-CN"/>
        </w:rPr>
        <w:t>4</w:t>
      </w:r>
      <w:r>
        <w:rPr>
          <w:rStyle w:val="32"/>
          <w:rFonts w:hint="eastAsia" w:ascii="宋体" w:hAnsi="宋体" w:eastAsia="宋体" w:cs="宋体"/>
          <w:color w:val="auto"/>
          <w:kern w:val="0"/>
          <w:sz w:val="24"/>
          <w:szCs w:val="24"/>
          <w:highlight w:val="none"/>
        </w:rPr>
        <w:t>.报价费用说明：</w:t>
      </w:r>
    </w:p>
    <w:p w14:paraId="7BAD2A4F">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2"/>
          <w:rFonts w:hint="eastAsia" w:ascii="宋体" w:hAnsi="宋体" w:eastAsia="宋体" w:cs="宋体"/>
          <w:color w:val="auto"/>
          <w:kern w:val="0"/>
          <w:sz w:val="24"/>
          <w:szCs w:val="24"/>
          <w:highlight w:val="none"/>
          <w:lang w:val="en-US" w:eastAsia="zh-CN"/>
        </w:rPr>
      </w:pPr>
      <w:r>
        <w:rPr>
          <w:rStyle w:val="32"/>
          <w:rFonts w:hint="eastAsia" w:ascii="宋体" w:hAnsi="宋体" w:eastAsia="宋体" w:cs="宋体"/>
          <w:color w:val="auto"/>
          <w:kern w:val="0"/>
          <w:sz w:val="24"/>
          <w:szCs w:val="24"/>
          <w:highlight w:val="none"/>
          <w:lang w:val="en-US" w:eastAsia="zh-CN"/>
        </w:rPr>
        <w:t>（1）本项目采取固定单价报价，各投标人每项的分项综合单价报价与分项最高限价相比的下浮率必须一致，否则作无效标处理。</w:t>
      </w:r>
    </w:p>
    <w:p w14:paraId="593F784C">
      <w:pPr>
        <w:keepNext w:val="0"/>
        <w:keepLines w:val="0"/>
        <w:pageBreakBefore w:val="0"/>
        <w:kinsoku/>
        <w:wordWrap/>
        <w:overflowPunct/>
        <w:topLinePunct w:val="0"/>
        <w:autoSpaceDE/>
        <w:autoSpaceDN/>
        <w:bidi w:val="0"/>
        <w:adjustRightInd/>
        <w:snapToGrid/>
        <w:spacing w:line="440" w:lineRule="exact"/>
        <w:ind w:right="0" w:rightChars="0" w:firstLine="482" w:firstLineChars="200"/>
        <w:textAlignment w:val="auto"/>
        <w:rPr>
          <w:rStyle w:val="32"/>
          <w:rFonts w:hint="eastAsia" w:ascii="宋体" w:hAnsi="宋体" w:eastAsia="宋体" w:cs="宋体"/>
          <w:b/>
          <w:bCs/>
          <w:color w:val="auto"/>
          <w:kern w:val="0"/>
          <w:sz w:val="24"/>
          <w:szCs w:val="24"/>
          <w:highlight w:val="none"/>
          <w:lang w:val="en-US" w:eastAsia="zh-CN"/>
        </w:rPr>
      </w:pPr>
      <w:r>
        <w:rPr>
          <w:rStyle w:val="32"/>
          <w:rFonts w:hint="eastAsia" w:ascii="宋体" w:hAnsi="宋体" w:eastAsia="宋体" w:cs="宋体"/>
          <w:b/>
          <w:bCs/>
          <w:color w:val="auto"/>
          <w:kern w:val="0"/>
          <w:sz w:val="24"/>
          <w:szCs w:val="24"/>
          <w:highlight w:val="none"/>
          <w:lang w:val="en-US" w:eastAsia="zh-CN"/>
        </w:rPr>
        <w:t>（2）</w:t>
      </w:r>
      <w:r>
        <w:rPr>
          <w:rStyle w:val="32"/>
          <w:rFonts w:hint="eastAsia" w:ascii="宋体" w:hAnsi="宋体" w:eastAsia="宋体" w:cs="宋体"/>
          <w:b/>
          <w:bCs/>
          <w:color w:val="auto"/>
          <w:kern w:val="0"/>
          <w:sz w:val="24"/>
          <w:szCs w:val="24"/>
          <w:highlight w:val="none"/>
          <w:lang w:eastAsia="zh-CN"/>
        </w:rPr>
        <w:t>投标报价保留小数点后两位小数，否则作无效标处理。</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2"/>
          <w:rFonts w:hint="eastAsia" w:ascii="宋体" w:hAnsi="宋体" w:eastAsia="宋体" w:cs="宋体"/>
          <w:color w:val="auto"/>
          <w:kern w:val="0"/>
          <w:sz w:val="24"/>
          <w:szCs w:val="24"/>
          <w:highlight w:val="none"/>
          <w:lang w:val="en-US" w:eastAsia="zh-CN"/>
        </w:rPr>
      </w:pPr>
      <w:r>
        <w:rPr>
          <w:rStyle w:val="32"/>
          <w:rFonts w:hint="eastAsia" w:ascii="宋体" w:hAnsi="宋体" w:eastAsia="宋体" w:cs="宋体"/>
          <w:color w:val="auto"/>
          <w:kern w:val="0"/>
          <w:sz w:val="24"/>
          <w:szCs w:val="24"/>
          <w:highlight w:val="none"/>
          <w:lang w:val="en-US" w:eastAsia="zh-CN"/>
        </w:rPr>
        <w:t>（3）本项目采取固定单价报价，此报价包括货物的制作、运输（含上下人力费）、材料检测费、保险、装卸、配件、13%税金、现场安装技术指导、售后服务等所有费用，和政策性文件规定及合同包含的所有风险、责任等各项应有费用，即招标物交付使用前的所有费用以及免保期内的服务费用。本项目采购量为预估用量，会多批次少量进货，请各投标人在报价时充分考虑各种因素（如税金、运输等各种费用），合同期内中标单价不作调。</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2"/>
          <w:rFonts w:hint="eastAsia" w:ascii="宋体" w:hAnsi="宋体" w:eastAsia="宋体" w:cs="宋体"/>
          <w:color w:val="auto"/>
          <w:kern w:val="0"/>
          <w:sz w:val="24"/>
          <w:szCs w:val="24"/>
          <w:highlight w:val="none"/>
          <w:lang w:val="en-US" w:eastAsia="zh-CN"/>
        </w:rPr>
      </w:pPr>
      <w:r>
        <w:rPr>
          <w:rStyle w:val="32"/>
          <w:rFonts w:hint="eastAsia" w:ascii="宋体" w:hAnsi="宋体" w:eastAsia="宋体" w:cs="宋体"/>
          <w:color w:val="auto"/>
          <w:kern w:val="0"/>
          <w:sz w:val="24"/>
          <w:szCs w:val="24"/>
          <w:highlight w:val="none"/>
          <w:lang w:val="en-US" w:eastAsia="zh-CN"/>
        </w:rPr>
        <w:t>5</w:t>
      </w:r>
      <w:r>
        <w:rPr>
          <w:rStyle w:val="32"/>
          <w:rFonts w:hint="eastAsia" w:ascii="宋体" w:hAnsi="宋体" w:eastAsia="宋体" w:cs="宋体"/>
          <w:color w:val="auto"/>
          <w:kern w:val="0"/>
          <w:sz w:val="24"/>
          <w:szCs w:val="24"/>
          <w:highlight w:val="none"/>
        </w:rPr>
        <w:t>.</w:t>
      </w:r>
      <w:r>
        <w:rPr>
          <w:rStyle w:val="32"/>
          <w:rFonts w:hint="eastAsia" w:ascii="宋体" w:hAnsi="宋体" w:eastAsia="宋体" w:cs="宋体"/>
          <w:color w:val="auto"/>
          <w:kern w:val="0"/>
          <w:sz w:val="24"/>
          <w:szCs w:val="24"/>
          <w:highlight w:val="none"/>
          <w:lang w:val="en-US" w:eastAsia="zh-CN"/>
        </w:rPr>
        <w:t>营业执照及所有报价单必须加盖报价单位公章。</w:t>
      </w:r>
    </w:p>
    <w:p w14:paraId="12E1A687">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2"/>
          <w:rFonts w:hint="eastAsia" w:ascii="宋体" w:hAnsi="宋体" w:eastAsia="宋体" w:cs="宋体"/>
          <w:color w:val="auto"/>
          <w:kern w:val="0"/>
          <w:sz w:val="24"/>
          <w:szCs w:val="24"/>
          <w:highlight w:val="none"/>
          <w:lang w:val="en-US" w:eastAsia="zh-CN"/>
        </w:rPr>
      </w:pPr>
      <w:r>
        <w:rPr>
          <w:rStyle w:val="32"/>
          <w:rFonts w:hint="eastAsia" w:ascii="宋体" w:hAnsi="宋体" w:eastAsia="宋体" w:cs="宋体"/>
          <w:color w:val="auto"/>
          <w:kern w:val="0"/>
          <w:sz w:val="24"/>
          <w:szCs w:val="24"/>
          <w:highlight w:val="none"/>
          <w:lang w:val="en-US" w:eastAsia="zh-CN"/>
        </w:rPr>
        <w:t>6.拟定支付方式及期限：本次采购量为预估量，最终结算按每次实际采购量计，每次供货完毕并经验收合格后，收到卖方相应的增值税专用发票后30天内支付该批订单的90%货款，合同期内所供货物的余款10%于合同期结束满2年后，经采购单位认可后一次性结清。</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2"/>
          <w:rFonts w:hint="eastAsia" w:ascii="宋体" w:hAnsi="宋体" w:eastAsia="宋体" w:cs="宋体"/>
          <w:color w:val="auto"/>
          <w:kern w:val="0"/>
          <w:sz w:val="24"/>
          <w:szCs w:val="24"/>
          <w:highlight w:val="none"/>
          <w:lang w:val="en-US" w:eastAsia="zh-CN"/>
        </w:rPr>
      </w:pPr>
      <w:r>
        <w:rPr>
          <w:rStyle w:val="32"/>
          <w:rFonts w:hint="eastAsia" w:ascii="宋体" w:hAnsi="宋体" w:eastAsia="宋体" w:cs="宋体"/>
          <w:color w:val="auto"/>
          <w:kern w:val="0"/>
          <w:sz w:val="24"/>
          <w:szCs w:val="24"/>
          <w:highlight w:val="none"/>
          <w:lang w:val="en-US" w:eastAsia="zh-CN"/>
        </w:rPr>
        <w:t>注：成交供应商申请付款的程序应符合采购人的财务规定。</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color w:val="auto"/>
          <w:sz w:val="24"/>
          <w:szCs w:val="24"/>
          <w:highlight w:val="none"/>
        </w:rPr>
      </w:pPr>
      <w:r>
        <w:rPr>
          <w:rStyle w:val="32"/>
          <w:rFonts w:hint="eastAsia" w:ascii="宋体" w:hAnsi="宋体" w:eastAsia="宋体" w:cs="宋体"/>
          <w:color w:val="auto"/>
          <w:kern w:val="0"/>
          <w:sz w:val="24"/>
          <w:szCs w:val="24"/>
          <w:highlight w:val="none"/>
          <w:lang w:val="en-US" w:eastAsia="zh-CN"/>
        </w:rPr>
        <w:t>7</w:t>
      </w:r>
      <w:r>
        <w:rPr>
          <w:rStyle w:val="32"/>
          <w:rFonts w:hint="eastAsia" w:ascii="宋体" w:hAnsi="宋体" w:eastAsia="宋体" w:cs="宋体"/>
          <w:color w:val="auto"/>
          <w:kern w:val="0"/>
          <w:sz w:val="24"/>
          <w:szCs w:val="24"/>
          <w:highlight w:val="none"/>
        </w:rPr>
        <w:t>.其他：</w:t>
      </w:r>
      <w:r>
        <w:rPr>
          <w:rStyle w:val="32"/>
          <w:rFonts w:hint="eastAsia" w:ascii="宋体" w:hAnsi="宋体" w:eastAsia="宋体" w:cs="宋体"/>
          <w:color w:val="auto"/>
          <w:kern w:val="0"/>
          <w:sz w:val="24"/>
          <w:szCs w:val="24"/>
          <w:highlight w:val="none"/>
          <w:lang w:eastAsia="zh-CN"/>
        </w:rPr>
        <w:t>（</w:t>
      </w:r>
      <w:r>
        <w:rPr>
          <w:rStyle w:val="32"/>
          <w:rFonts w:hint="eastAsia" w:ascii="宋体" w:hAnsi="宋体" w:eastAsia="宋体" w:cs="宋体"/>
          <w:color w:val="auto"/>
          <w:kern w:val="0"/>
          <w:sz w:val="24"/>
          <w:szCs w:val="24"/>
          <w:highlight w:val="none"/>
          <w:lang w:val="en-US" w:eastAsia="zh-CN"/>
        </w:rPr>
        <w:t>1</w:t>
      </w:r>
      <w:r>
        <w:rPr>
          <w:rStyle w:val="32"/>
          <w:rFonts w:hint="eastAsia" w:ascii="宋体" w:hAnsi="宋体" w:eastAsia="宋体" w:cs="宋体"/>
          <w:color w:val="auto"/>
          <w:kern w:val="0"/>
          <w:sz w:val="24"/>
          <w:szCs w:val="24"/>
          <w:highlight w:val="none"/>
          <w:lang w:eastAsia="zh-CN"/>
        </w:rPr>
        <w:t>）</w:t>
      </w:r>
      <w:r>
        <w:rPr>
          <w:rStyle w:val="32"/>
          <w:rFonts w:hint="eastAsia" w:ascii="宋体" w:hAnsi="宋体" w:eastAsia="宋体" w:cs="宋体"/>
          <w:color w:val="auto"/>
          <w:kern w:val="0"/>
          <w:sz w:val="24"/>
          <w:szCs w:val="24"/>
          <w:highlight w:val="none"/>
        </w:rPr>
        <w:t>请报价单位认真核算、如实报价，如发现虚假报价的，该单位今后将</w:t>
      </w:r>
      <w:r>
        <w:rPr>
          <w:rStyle w:val="32"/>
          <w:rFonts w:hint="eastAsia" w:ascii="宋体" w:hAnsi="宋体" w:eastAsia="宋体" w:cs="宋体"/>
          <w:color w:val="auto"/>
          <w:kern w:val="0"/>
          <w:sz w:val="24"/>
          <w:szCs w:val="24"/>
          <w:highlight w:val="none"/>
          <w:lang w:val="en-US" w:eastAsia="zh-CN"/>
        </w:rPr>
        <w:t>记入</w:t>
      </w:r>
      <w:r>
        <w:rPr>
          <w:rStyle w:val="32"/>
          <w:rFonts w:hint="eastAsia" w:ascii="宋体" w:hAnsi="宋体" w:eastAsia="宋体" w:cs="宋体"/>
          <w:color w:val="auto"/>
          <w:kern w:val="0"/>
          <w:sz w:val="24"/>
          <w:szCs w:val="24"/>
          <w:highlight w:val="none"/>
        </w:rPr>
        <w:t>采购</w:t>
      </w:r>
      <w:r>
        <w:rPr>
          <w:rStyle w:val="32"/>
          <w:rFonts w:hint="eastAsia" w:ascii="宋体" w:hAnsi="宋体" w:eastAsia="宋体" w:cs="宋体"/>
          <w:color w:val="auto"/>
          <w:kern w:val="0"/>
          <w:sz w:val="24"/>
          <w:szCs w:val="24"/>
          <w:highlight w:val="none"/>
          <w:lang w:val="en-US" w:eastAsia="zh-CN"/>
        </w:rPr>
        <w:t>人招标市场的黑名单</w:t>
      </w:r>
      <w:r>
        <w:rPr>
          <w:rStyle w:val="32"/>
          <w:rFonts w:hint="eastAsia" w:ascii="宋体" w:hAnsi="宋体" w:eastAsia="宋体" w:cs="宋体"/>
          <w:color w:val="auto"/>
          <w:kern w:val="0"/>
          <w:sz w:val="24"/>
          <w:szCs w:val="24"/>
          <w:highlight w:val="none"/>
        </w:rPr>
        <w:t>；</w:t>
      </w:r>
      <w:r>
        <w:rPr>
          <w:rStyle w:val="32"/>
          <w:rFonts w:hint="eastAsia" w:ascii="宋体" w:hAnsi="宋体" w:eastAsia="宋体" w:cs="宋体"/>
          <w:color w:val="auto"/>
          <w:kern w:val="0"/>
          <w:sz w:val="24"/>
          <w:szCs w:val="24"/>
          <w:highlight w:val="none"/>
          <w:lang w:eastAsia="zh-CN"/>
        </w:rPr>
        <w:t>（</w:t>
      </w:r>
      <w:r>
        <w:rPr>
          <w:rStyle w:val="32"/>
          <w:rFonts w:hint="eastAsia" w:ascii="宋体" w:hAnsi="宋体" w:eastAsia="宋体" w:cs="宋体"/>
          <w:color w:val="auto"/>
          <w:kern w:val="0"/>
          <w:sz w:val="24"/>
          <w:szCs w:val="24"/>
          <w:highlight w:val="none"/>
          <w:lang w:val="en-US" w:eastAsia="zh-CN"/>
        </w:rPr>
        <w:t>2</w:t>
      </w:r>
      <w:r>
        <w:rPr>
          <w:rStyle w:val="32"/>
          <w:rFonts w:hint="eastAsia" w:ascii="宋体" w:hAnsi="宋体" w:eastAsia="宋体" w:cs="宋体"/>
          <w:color w:val="auto"/>
          <w:kern w:val="0"/>
          <w:sz w:val="24"/>
          <w:szCs w:val="24"/>
          <w:highlight w:val="none"/>
          <w:lang w:eastAsia="zh-CN"/>
        </w:rPr>
        <w:t>）</w:t>
      </w:r>
      <w:r>
        <w:rPr>
          <w:rStyle w:val="32"/>
          <w:rFonts w:hint="eastAsia" w:ascii="宋体" w:hAnsi="宋体" w:eastAsia="宋体" w:cs="宋体"/>
          <w:color w:val="auto"/>
          <w:kern w:val="0"/>
          <w:sz w:val="24"/>
          <w:szCs w:val="24"/>
          <w:highlight w:val="none"/>
        </w:rPr>
        <w:t>本次报价仅作为市场调研用，因此价格仅供参考；</w:t>
      </w:r>
      <w:r>
        <w:rPr>
          <w:rStyle w:val="32"/>
          <w:rFonts w:hint="eastAsia" w:ascii="宋体" w:hAnsi="宋体" w:eastAsia="宋体" w:cs="宋体"/>
          <w:color w:val="auto"/>
          <w:kern w:val="0"/>
          <w:sz w:val="24"/>
          <w:szCs w:val="24"/>
          <w:highlight w:val="none"/>
          <w:lang w:eastAsia="zh-CN"/>
        </w:rPr>
        <w:t>（</w:t>
      </w:r>
      <w:r>
        <w:rPr>
          <w:rStyle w:val="32"/>
          <w:rFonts w:hint="eastAsia" w:ascii="宋体" w:hAnsi="宋体" w:eastAsia="宋体" w:cs="宋体"/>
          <w:color w:val="auto"/>
          <w:kern w:val="0"/>
          <w:sz w:val="24"/>
          <w:szCs w:val="24"/>
          <w:highlight w:val="none"/>
          <w:lang w:val="en-US" w:eastAsia="zh-CN"/>
        </w:rPr>
        <w:t>3</w:t>
      </w:r>
      <w:r>
        <w:rPr>
          <w:rStyle w:val="32"/>
          <w:rFonts w:hint="eastAsia" w:ascii="宋体" w:hAnsi="宋体" w:eastAsia="宋体" w:cs="宋体"/>
          <w:color w:val="auto"/>
          <w:kern w:val="0"/>
          <w:sz w:val="24"/>
          <w:szCs w:val="24"/>
          <w:highlight w:val="none"/>
          <w:lang w:eastAsia="zh-CN"/>
        </w:rPr>
        <w:t>）</w:t>
      </w:r>
      <w:r>
        <w:rPr>
          <w:rStyle w:val="32"/>
          <w:rFonts w:hint="eastAsia" w:ascii="宋体" w:hAnsi="宋体" w:eastAsia="宋体" w:cs="宋体"/>
          <w:color w:val="auto"/>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32"/>
          <w:rFonts w:hint="eastAsia" w:ascii="宋体" w:hAnsi="宋体" w:eastAsia="宋体" w:cs="宋体"/>
          <w:color w:val="auto"/>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启东市自来水厂有限公司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32"/>
          <w:rFonts w:hint="eastAsia" w:ascii="宋体" w:hAnsi="宋体" w:eastAsia="宋体" w:cs="宋体"/>
          <w:color w:val="auto"/>
          <w:kern w:val="0"/>
          <w:sz w:val="24"/>
          <w:szCs w:val="24"/>
          <w:highlight w:val="none"/>
          <w:lang w:val="en-US" w:eastAsia="zh-CN" w:bidi="ar-SA"/>
        </w:rPr>
      </w:pPr>
      <w:r>
        <w:rPr>
          <w:rStyle w:val="32"/>
          <w:rFonts w:hint="eastAsia" w:ascii="宋体" w:hAnsi="宋体" w:eastAsia="宋体" w:cs="宋体"/>
          <w:color w:val="auto"/>
          <w:kern w:val="0"/>
          <w:sz w:val="24"/>
          <w:szCs w:val="24"/>
          <w:highlight w:val="none"/>
          <w:lang w:val="en-US" w:eastAsia="zh-CN" w:bidi="ar-SA"/>
        </w:rPr>
        <w:t>2025年9月23日</w:t>
      </w:r>
    </w:p>
    <w:p w14:paraId="10B6DC4A">
      <w:pPr>
        <w:rPr>
          <w:rFonts w:hint="default" w:ascii="宋体" w:hAnsi="宋体" w:eastAsia="宋体" w:cs="宋体"/>
          <w:b/>
          <w:color w:val="auto"/>
          <w:kern w:val="0"/>
          <w:sz w:val="28"/>
          <w:szCs w:val="28"/>
          <w:highlight w:val="none"/>
          <w:lang w:val="en-US" w:eastAsia="zh-CN"/>
        </w:rPr>
      </w:pPr>
    </w:p>
    <w:p w14:paraId="22F64D54">
      <w:pPr>
        <w:pStyle w:val="2"/>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2"/>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2"/>
        <w:rPr>
          <w:rFonts w:hint="default" w:ascii="宋体" w:hAnsi="宋体" w:eastAsia="宋体" w:cs="宋体"/>
          <w:b/>
          <w:color w:val="auto"/>
          <w:kern w:val="0"/>
          <w:sz w:val="28"/>
          <w:szCs w:val="28"/>
          <w:highlight w:val="none"/>
          <w:lang w:val="en-US" w:eastAsia="zh-CN"/>
        </w:rPr>
      </w:pPr>
    </w:p>
    <w:p w14:paraId="18E2E567">
      <w:pPr>
        <w:pStyle w:val="2"/>
        <w:rPr>
          <w:rFonts w:hint="eastAsia" w:ascii="宋体" w:hAnsi="宋体" w:cs="宋体"/>
          <w:b/>
          <w:color w:val="auto"/>
          <w:kern w:val="0"/>
          <w:sz w:val="28"/>
          <w:szCs w:val="28"/>
          <w:highlight w:val="none"/>
          <w:lang w:val="en-US" w:eastAsia="zh-CN"/>
        </w:rPr>
      </w:pPr>
    </w:p>
    <w:p w14:paraId="6150418D">
      <w:pPr>
        <w:pStyle w:val="2"/>
        <w:rPr>
          <w:rFonts w:hint="eastAsia" w:ascii="宋体" w:hAnsi="宋体" w:cs="宋体"/>
          <w:b/>
          <w:color w:val="auto"/>
          <w:kern w:val="0"/>
          <w:sz w:val="28"/>
          <w:szCs w:val="28"/>
          <w:highlight w:val="none"/>
          <w:lang w:val="en-US" w:eastAsia="zh-CN"/>
        </w:rPr>
      </w:pPr>
    </w:p>
    <w:p w14:paraId="526FF72C">
      <w:pPr>
        <w:pStyle w:val="2"/>
        <w:rPr>
          <w:rFonts w:hint="eastAsia" w:ascii="宋体" w:hAnsi="宋体" w:cs="宋体"/>
          <w:b/>
          <w:color w:val="auto"/>
          <w:kern w:val="0"/>
          <w:sz w:val="28"/>
          <w:szCs w:val="28"/>
          <w:highlight w:val="none"/>
          <w:lang w:val="en-US" w:eastAsia="zh-CN"/>
        </w:rPr>
      </w:pPr>
    </w:p>
    <w:p w14:paraId="1E6E471A">
      <w:pPr>
        <w:pStyle w:val="2"/>
        <w:rPr>
          <w:rFonts w:hint="eastAsia" w:ascii="宋体" w:hAnsi="宋体" w:cs="宋体"/>
          <w:b/>
          <w:color w:val="auto"/>
          <w:kern w:val="0"/>
          <w:sz w:val="28"/>
          <w:szCs w:val="28"/>
          <w:highlight w:val="none"/>
          <w:lang w:val="en-US" w:eastAsia="zh-CN"/>
        </w:rPr>
      </w:pPr>
    </w:p>
    <w:p w14:paraId="5F5A4B4A">
      <w:pPr>
        <w:pStyle w:val="2"/>
        <w:rPr>
          <w:rFonts w:hint="eastAsia" w:ascii="宋体" w:hAnsi="宋体" w:cs="宋体"/>
          <w:b/>
          <w:color w:val="auto"/>
          <w:kern w:val="0"/>
          <w:sz w:val="28"/>
          <w:szCs w:val="28"/>
          <w:highlight w:val="none"/>
          <w:lang w:val="en-US" w:eastAsia="zh-CN"/>
        </w:rPr>
      </w:pPr>
    </w:p>
    <w:p w14:paraId="0695B097">
      <w:pPr>
        <w:pStyle w:val="2"/>
        <w:rPr>
          <w:rFonts w:hint="eastAsia" w:ascii="宋体" w:hAnsi="宋体" w:cs="宋体"/>
          <w:b/>
          <w:color w:val="auto"/>
          <w:kern w:val="0"/>
          <w:sz w:val="28"/>
          <w:szCs w:val="28"/>
          <w:highlight w:val="none"/>
          <w:lang w:val="en-US" w:eastAsia="zh-CN"/>
        </w:rPr>
      </w:pPr>
    </w:p>
    <w:p w14:paraId="3B2C24AA">
      <w:pPr>
        <w:pStyle w:val="2"/>
        <w:rPr>
          <w:rFonts w:hint="eastAsia" w:ascii="宋体" w:hAnsi="宋体" w:cs="宋体"/>
          <w:b/>
          <w:color w:val="auto"/>
          <w:kern w:val="0"/>
          <w:sz w:val="28"/>
          <w:szCs w:val="28"/>
          <w:highlight w:val="none"/>
          <w:lang w:val="en-US" w:eastAsia="zh-CN"/>
        </w:rPr>
      </w:pPr>
    </w:p>
    <w:p w14:paraId="6FA8B498">
      <w:pPr>
        <w:pStyle w:val="2"/>
        <w:rPr>
          <w:rFonts w:hint="eastAsia" w:ascii="宋体" w:hAnsi="宋体" w:cs="宋体"/>
          <w:b/>
          <w:color w:val="auto"/>
          <w:kern w:val="0"/>
          <w:sz w:val="28"/>
          <w:szCs w:val="28"/>
          <w:highlight w:val="none"/>
          <w:lang w:val="en-US" w:eastAsia="zh-CN"/>
        </w:rPr>
      </w:pP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43694E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0"/>
          <w:szCs w:val="30"/>
        </w:rPr>
      </w:pPr>
      <w:r>
        <w:rPr>
          <w:rFonts w:hint="eastAsia" w:ascii="宋体" w:hAnsi="宋体" w:cs="宋体"/>
          <w:b/>
          <w:sz w:val="30"/>
          <w:szCs w:val="30"/>
          <w:lang w:val="en-US" w:eastAsia="zh-CN"/>
        </w:rPr>
        <w:t>启东市自来水厂有限公司球墨配件2025-2026年度采购项目</w:t>
      </w:r>
    </w:p>
    <w:p w14:paraId="7699F6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cs="宋体" w:eastAsiaTheme="minorEastAsia"/>
          <w:b/>
          <w:sz w:val="32"/>
          <w:szCs w:val="32"/>
          <w:lang w:val="en-US" w:eastAsia="zh-CN"/>
        </w:rPr>
      </w:pPr>
      <w:r>
        <w:rPr>
          <w:rFonts w:hint="eastAsia" w:ascii="宋体" w:hAnsi="宋体" w:cs="宋体"/>
          <w:b/>
          <w:sz w:val="32"/>
          <w:szCs w:val="32"/>
          <w:lang w:val="en-US" w:eastAsia="zh-CN"/>
        </w:rPr>
        <w:t>市场询价表</w:t>
      </w:r>
    </w:p>
    <w:tbl>
      <w:tblPr>
        <w:tblStyle w:val="20"/>
        <w:tblW w:w="931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7"/>
        <w:gridCol w:w="1466"/>
        <w:gridCol w:w="1572"/>
        <w:gridCol w:w="768"/>
        <w:gridCol w:w="756"/>
        <w:gridCol w:w="852"/>
        <w:gridCol w:w="876"/>
        <w:gridCol w:w="912"/>
        <w:gridCol w:w="1690"/>
      </w:tblGrid>
      <w:tr w14:paraId="29162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C08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64D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材料名称</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073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规格/型号</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7B0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166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201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报价</w:t>
            </w:r>
          </w:p>
          <w:p w14:paraId="3BBE628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108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综合</w:t>
            </w:r>
          </w:p>
          <w:p w14:paraId="7F53524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单价        （元）</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99F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合计               （元）</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6FD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w:t>
            </w:r>
          </w:p>
        </w:tc>
      </w:tr>
      <w:tr w14:paraId="7B81B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90E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1</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1825C2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球墨配件</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4D7E1">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000000"/>
                <w:kern w:val="0"/>
                <w:sz w:val="22"/>
                <w:szCs w:val="22"/>
                <w:u w:val="none"/>
                <w:lang w:val="en-US" w:eastAsia="zh-CN" w:bidi="ar"/>
              </w:rPr>
              <w:t>DN100-DN600</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065F6">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000000"/>
                <w:kern w:val="0"/>
                <w:sz w:val="22"/>
                <w:szCs w:val="22"/>
                <w:u w:val="none"/>
                <w:lang w:val="en-US" w:eastAsia="zh-CN" w:bidi="ar"/>
              </w:rPr>
              <w:t>吨</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E4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2"/>
                <w:szCs w:val="22"/>
                <w:u w:val="none"/>
                <w:lang w:val="en-US" w:eastAsia="zh-CN" w:bidi="ar"/>
              </w:rPr>
              <w:t>300</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18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FC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5B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690" w:type="dxa"/>
            <w:vMerge w:val="restart"/>
            <w:tcBorders>
              <w:top w:val="single" w:color="000000" w:sz="4" w:space="0"/>
              <w:left w:val="single" w:color="000000" w:sz="4" w:space="0"/>
              <w:right w:val="single" w:color="000000" w:sz="4" w:space="0"/>
            </w:tcBorders>
            <w:shd w:val="clear" w:color="auto" w:fill="auto"/>
            <w:noWrap/>
            <w:vAlign w:val="center"/>
          </w:tcPr>
          <w:p w14:paraId="445921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含13%增值税、含运费、含卸货费等全部费用</w:t>
            </w:r>
          </w:p>
        </w:tc>
      </w:tr>
      <w:tr w14:paraId="1074F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52E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2</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03F1F6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球墨配件</w:t>
            </w:r>
          </w:p>
        </w:tc>
        <w:tc>
          <w:tcPr>
            <w:tcW w:w="15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595D7">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000000"/>
                <w:kern w:val="0"/>
                <w:sz w:val="22"/>
                <w:szCs w:val="22"/>
                <w:u w:val="none"/>
                <w:lang w:val="en-US" w:eastAsia="zh-CN" w:bidi="ar"/>
              </w:rPr>
              <w:t>DN700-DN1400</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35C68">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000000"/>
                <w:kern w:val="0"/>
                <w:sz w:val="22"/>
                <w:szCs w:val="22"/>
                <w:u w:val="none"/>
                <w:lang w:val="en-US" w:eastAsia="zh-CN" w:bidi="ar"/>
              </w:rPr>
              <w:t>吨</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8C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2"/>
                <w:szCs w:val="22"/>
                <w:u w:val="none"/>
                <w:lang w:val="en-US" w:eastAsia="zh-CN" w:bidi="ar"/>
              </w:rPr>
              <w:t>25</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149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BD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A1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690" w:type="dxa"/>
            <w:vMerge w:val="continue"/>
            <w:tcBorders>
              <w:left w:val="single" w:color="000000" w:sz="4" w:space="0"/>
              <w:right w:val="single" w:color="000000" w:sz="4" w:space="0"/>
            </w:tcBorders>
            <w:shd w:val="clear" w:color="auto" w:fill="auto"/>
            <w:noWrap/>
            <w:vAlign w:val="center"/>
          </w:tcPr>
          <w:p w14:paraId="127989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42C9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93"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385823EE">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总    价（元）</w:t>
            </w:r>
          </w:p>
        </w:tc>
        <w:tc>
          <w:tcPr>
            <w:tcW w:w="742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08828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大写：                   小写：</w:t>
            </w:r>
          </w:p>
        </w:tc>
      </w:tr>
      <w:tr w14:paraId="5A1CD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31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7095">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w:t>
            </w:r>
            <w:r>
              <w:rPr>
                <w:rFonts w:hint="eastAsia" w:ascii="宋体" w:hAnsi="宋体" w:eastAsia="宋体" w:cs="宋体"/>
                <w:b/>
                <w:bCs/>
                <w:i w:val="0"/>
                <w:iCs w:val="0"/>
                <w:color w:val="auto"/>
                <w:kern w:val="0"/>
                <w:sz w:val="24"/>
                <w:szCs w:val="24"/>
                <w:highlight w:val="none"/>
                <w:u w:val="none"/>
                <w:lang w:val="en-US" w:eastAsia="zh-CN" w:bidi="ar"/>
              </w:rPr>
              <w:t>供应商的资格要求</w:t>
            </w:r>
          </w:p>
          <w:p w14:paraId="43631D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1、符合《中华人民共和国政府采购法》第二十二条规定；</w:t>
            </w:r>
          </w:p>
          <w:p w14:paraId="43C361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2、未被“信用中国”、“中国政府采购网”、“信用江苏”网站列入失信被执行人、重大税收违法案件当事人名单、政府采购严重违法失信行为记录名单(提供网页截图)；</w:t>
            </w:r>
          </w:p>
          <w:p w14:paraId="2067C0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3、对于参加报价的供应商，须具有合法的营业执照；</w:t>
            </w:r>
          </w:p>
          <w:p w14:paraId="29843D6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4、投标人提供的投标产品有自2023年以来省级及以上检测部门的检测报告原件扫描件；</w:t>
            </w:r>
          </w:p>
          <w:p w14:paraId="01349D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5、报价人提供投标产品的</w:t>
            </w:r>
            <w:r>
              <w:rPr>
                <w:rFonts w:hint="eastAsia" w:ascii="宋体" w:hAnsi="宋体" w:eastAsia="宋体" w:cs="宋体"/>
                <w:b/>
                <w:bCs/>
                <w:i w:val="0"/>
                <w:iCs w:val="0"/>
                <w:color w:val="auto"/>
                <w:kern w:val="0"/>
                <w:sz w:val="24"/>
                <w:szCs w:val="24"/>
                <w:highlight w:val="none"/>
                <w:u w:val="none"/>
                <w:lang w:val="en-US" w:eastAsia="zh-CN" w:bidi="ar"/>
              </w:rPr>
              <w:t>涉及饮用水卫生安全的国产产品卫生许可证，球墨配件应符合《生活饮用水输配水设备及防护材料卫生安全评价规范》的检测报告（提供卫生许可证和检测报告原件扫描件）</w:t>
            </w:r>
          </w:p>
          <w:p w14:paraId="3F2765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6、报价人提供投标产品的质量管理体系认证证书和环境管理体系认证证书原件扫描件，且证书须在有效期内并覆盖本招标产品；</w:t>
            </w:r>
          </w:p>
          <w:p w14:paraId="08FFA2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7、报价人有自2023年1月1日以来（以合同签订时间为准）有类似的供货业绩（提供相对应的合同及发票原件扫描件加盖公章）。</w:t>
            </w:r>
          </w:p>
          <w:p w14:paraId="4176CFF9">
            <w:pPr>
              <w:pStyle w:val="19"/>
              <w:spacing w:after="0" w:line="240" w:lineRule="auto"/>
              <w:ind w:left="0" w:leftChars="0" w:firstLine="0" w:firstLineChars="0"/>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二、相关技术要求:</w:t>
            </w:r>
          </w:p>
          <w:p w14:paraId="194162A4">
            <w:pPr>
              <w:keepNext w:val="0"/>
              <w:keepLines w:val="0"/>
              <w:pageBreakBefore w:val="0"/>
              <w:widowControl w:val="0"/>
              <w:numPr>
                <w:ilvl w:val="0"/>
                <w:numId w:val="0"/>
              </w:numPr>
              <w:kinsoku/>
              <w:wordWrap/>
              <w:overflowPunct/>
              <w:topLinePunct w:val="0"/>
              <w:autoSpaceDN/>
              <w:bidi w:val="0"/>
              <w:snapToGrid/>
              <w:spacing w:line="240" w:lineRule="auto"/>
              <w:jc w:val="left"/>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1、产品符合标准</w:t>
            </w:r>
          </w:p>
          <w:p w14:paraId="3F42F147">
            <w:pPr>
              <w:adjustRightInd w:val="0"/>
              <w:snapToGrid w:val="0"/>
              <w:spacing w:line="240" w:lineRule="auto"/>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（1）符合ISO2531/EN545标准，DN200及以下口径公称压力为PN16，眼距为PN10,其余压力为PN10。</w:t>
            </w:r>
          </w:p>
          <w:p w14:paraId="6476C666">
            <w:pPr>
              <w:adjustRightInd w:val="0"/>
              <w:snapToGrid w:val="0"/>
              <w:spacing w:line="240" w:lineRule="auto"/>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（2）管件外表面喷锌（ISO8179标准）并涂沥青漆，内层涂覆水泥砂浆内衬（ISO4179标准）。</w:t>
            </w:r>
          </w:p>
          <w:p w14:paraId="4CBCFAEA">
            <w:pPr>
              <w:adjustRightInd w:val="0"/>
              <w:snapToGrid w:val="0"/>
              <w:spacing w:line="240" w:lineRule="auto"/>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（3）《水及燃气管道用球墨铸铁管、管件和附件》GB/T 13295-2019。</w:t>
            </w:r>
          </w:p>
          <w:p w14:paraId="02BB6955">
            <w:pPr>
              <w:adjustRightInd w:val="0"/>
              <w:snapToGrid w:val="0"/>
              <w:spacing w:line="240" w:lineRule="auto"/>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（4）《生活饮用水配水设备及防护材料的安全性评价标准》GB/T 17219</w:t>
            </w:r>
            <w:r>
              <w:rPr>
                <w:rFonts w:hint="eastAsia" w:ascii="宋体" w:hAnsi="宋体" w:eastAsia="宋体" w:cs="宋体"/>
                <w:color w:val="000000"/>
                <w:sz w:val="24"/>
                <w:szCs w:val="24"/>
                <w:highlight w:val="none"/>
                <w:lang w:val="en-US" w:eastAsia="zh-CN"/>
              </w:rPr>
              <w:t>-1998</w:t>
            </w:r>
            <w:r>
              <w:rPr>
                <w:rFonts w:hint="eastAsia" w:ascii="宋体" w:hAnsi="宋体" w:eastAsia="宋体" w:cs="宋体"/>
                <w:color w:val="000000"/>
                <w:sz w:val="24"/>
                <w:szCs w:val="24"/>
                <w:highlight w:val="none"/>
              </w:rPr>
              <w:t>。</w:t>
            </w:r>
          </w:p>
          <w:p w14:paraId="240389A7">
            <w:pPr>
              <w:adjustRightInd w:val="0"/>
              <w:snapToGrid w:val="0"/>
              <w:spacing w:line="240" w:lineRule="auto"/>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（5）《球墨铸铁管外表面锌涂层 第2部分：带终饰层的富锌涂料涂层》GB/T 17456.2-2010。</w:t>
            </w:r>
          </w:p>
          <w:p w14:paraId="0794472A">
            <w:pPr>
              <w:adjustRightInd w:val="0"/>
              <w:snapToGrid w:val="0"/>
              <w:spacing w:line="240" w:lineRule="auto"/>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 球墨铸铁管管件的尺寸、外型、重量应符合GB/T 13295-2019标准的规定。</w:t>
            </w:r>
          </w:p>
          <w:p w14:paraId="3DED02C8">
            <w:pPr>
              <w:adjustRightInd w:val="0"/>
              <w:snapToGrid w:val="0"/>
              <w:spacing w:line="240" w:lineRule="auto"/>
              <w:contextualSpacing/>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2、产品应达到如下要求：</w:t>
            </w:r>
          </w:p>
          <w:p w14:paraId="37B750C6">
            <w:pPr>
              <w:adjustRightInd w:val="0"/>
              <w:snapToGrid w:val="0"/>
              <w:spacing w:line="240" w:lineRule="auto"/>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（1）采用球墨铸铁原料制成，材质要求：铁素体含量：≥85%；渗碳体含量：≤1%；球化率：≥80%；石磨球圆整度：1-3级。</w:t>
            </w:r>
          </w:p>
          <w:p w14:paraId="395E1A6E">
            <w:pPr>
              <w:adjustRightInd w:val="0"/>
              <w:snapToGrid w:val="0"/>
              <w:spacing w:line="240" w:lineRule="auto"/>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（2）壁厚、压力必须符合相应标准。</w:t>
            </w:r>
          </w:p>
          <w:p w14:paraId="08318180">
            <w:pPr>
              <w:adjustRightInd w:val="0"/>
              <w:snapToGrid w:val="0"/>
              <w:spacing w:line="240" w:lineRule="auto"/>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（3）生产技术要求按国家建材相关标准。</w:t>
            </w:r>
          </w:p>
          <w:p w14:paraId="3B1C36E1">
            <w:pPr>
              <w:adjustRightInd w:val="0"/>
              <w:snapToGrid w:val="0"/>
              <w:spacing w:line="240" w:lineRule="auto"/>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（4）化学成分、力学性能、几何尺寸必须按照国家相应规定执行。</w:t>
            </w:r>
          </w:p>
          <w:p w14:paraId="35D88EE4">
            <w:pPr>
              <w:adjustRightInd w:val="0"/>
              <w:snapToGrid w:val="0"/>
              <w:spacing w:line="240" w:lineRule="auto"/>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（5）各配件误差值按行业规定：弯头重量公差范围±7%，其他产品重量公差范围±5%。</w:t>
            </w:r>
          </w:p>
          <w:p w14:paraId="0D5E3C1C">
            <w:pPr>
              <w:adjustRightInd w:val="0"/>
              <w:snapToGrid w:val="0"/>
              <w:spacing w:line="240" w:lineRule="auto"/>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（6）卫生性能好，无毒、不含重金属添加剂、无结垢层、不滋生细菌。</w:t>
            </w:r>
          </w:p>
          <w:p w14:paraId="51CB39BE">
            <w:pPr>
              <w:adjustRightInd w:val="0"/>
              <w:snapToGrid w:val="0"/>
              <w:spacing w:line="240" w:lineRule="auto"/>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（7）应具有良好的抗腐蚀性能。可耐多种化学物的腐蚀，无电化学腐蚀，不发生腐烂、生锈，也不会促进藻类、细菌或真菌生长，具有良好的抗腐蚀性能。</w:t>
            </w:r>
          </w:p>
          <w:p w14:paraId="6270AD8C">
            <w:pPr>
              <w:adjustRightInd w:val="0"/>
              <w:snapToGrid w:val="0"/>
              <w:spacing w:line="240" w:lineRule="auto"/>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（8）内壁光滑，摩擦系数极低，压力损失小，通水能力高，耐磨性好。</w:t>
            </w:r>
          </w:p>
          <w:p w14:paraId="6F6EC1F0">
            <w:pPr>
              <w:adjustRightInd w:val="0"/>
              <w:snapToGrid w:val="0"/>
              <w:spacing w:line="240" w:lineRule="auto"/>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（9）柔韧性好，抗冲击强度高，耐强震、扭曲。</w:t>
            </w:r>
          </w:p>
          <w:p w14:paraId="36A20E0C">
            <w:pPr>
              <w:adjustRightInd w:val="0"/>
              <w:snapToGrid w:val="0"/>
              <w:spacing w:line="240" w:lineRule="auto"/>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（10）运输、安装便捷，焊接工艺简单，施工维护方便。</w:t>
            </w:r>
          </w:p>
          <w:p w14:paraId="1C283976">
            <w:pPr>
              <w:adjustRightInd w:val="0"/>
              <w:snapToGrid w:val="0"/>
              <w:spacing w:line="240" w:lineRule="auto"/>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（11）球墨铸铁管件外防腐要求执行GB/T 17459标准(《球墨铸铁管沥青涂层》，配件外表面应用沥青质涂料涂覆。承口内侧做红色快干防腐漆或防锈漆处理。涂前管体表面应光洁、无铁锈、铁皮及杂质。涂后，涂层表而光洁、均匀、粘附牢固，不得因气候变化而发生异常。沥青涂层平均厚度大于0.07mm)。</w:t>
            </w:r>
          </w:p>
          <w:p w14:paraId="6CD5FA0A">
            <w:pPr>
              <w:adjustRightInd w:val="0"/>
              <w:snapToGrid w:val="0"/>
              <w:spacing w:line="240" w:lineRule="auto"/>
              <w:contextualSpacing/>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3、技术要求</w:t>
            </w:r>
          </w:p>
          <w:p w14:paraId="281C46C3">
            <w:pPr>
              <w:adjustRightInd w:val="0"/>
              <w:snapToGrid w:val="0"/>
              <w:spacing w:line="240" w:lineRule="auto"/>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 产品的生产、质量、检验均应符合《水及燃气管道用球墨铸铁管、管件和附件》（GB/T13295-2019）国家标准</w:t>
            </w:r>
          </w:p>
          <w:p w14:paraId="04C355A5">
            <w:pPr>
              <w:adjustRightInd w:val="0"/>
              <w:snapToGrid w:val="0"/>
              <w:spacing w:line="240" w:lineRule="auto"/>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3.2 产品卫生标准：GB/T 17219-1998。 </w:t>
            </w:r>
          </w:p>
          <w:p w14:paraId="4BA8A504">
            <w:pPr>
              <w:adjustRightInd w:val="0"/>
              <w:snapToGrid w:val="0"/>
              <w:spacing w:line="240" w:lineRule="auto"/>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 球铁管件壁厚级别：K12。</w:t>
            </w:r>
          </w:p>
          <w:p w14:paraId="4E94083A">
            <w:pPr>
              <w:adjustRightInd w:val="0"/>
              <w:snapToGrid w:val="0"/>
              <w:spacing w:line="240" w:lineRule="auto"/>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3.4 管口对接形式：T形滑入式柔性接口或法兰式接口，法兰压力等级1.0MPa</w:t>
            </w:r>
          </w:p>
          <w:p w14:paraId="3EA2AD1E">
            <w:pPr>
              <w:adjustRightInd w:val="0"/>
              <w:snapToGrid w:val="0"/>
              <w:spacing w:line="240" w:lineRule="auto"/>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 严禁采用手工砂型工艺。</w:t>
            </w:r>
          </w:p>
          <w:p w14:paraId="77063EF4">
            <w:pPr>
              <w:adjustRightInd w:val="0"/>
              <w:snapToGrid w:val="0"/>
              <w:spacing w:line="240" w:lineRule="auto"/>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3.6 必须经过退火热处理。</w:t>
            </w:r>
          </w:p>
          <w:p w14:paraId="1B6C93A8">
            <w:pPr>
              <w:adjustRightInd w:val="0"/>
              <w:snapToGrid w:val="0"/>
              <w:spacing w:line="240" w:lineRule="auto"/>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3.7 每一只管件必须进行水压试验，不得作任何修补或焊补。最小试验压力：DN 80mm～300mm，1.5Mpa；最小试验压力下至少保压10秒</w:t>
            </w:r>
            <w:bookmarkStart w:id="0" w:name="_GoBack"/>
            <w:bookmarkEnd w:id="0"/>
            <w:r>
              <w:rPr>
                <w:rFonts w:hint="eastAsia" w:ascii="宋体" w:hAnsi="宋体" w:eastAsia="宋体" w:cs="宋体"/>
                <w:color w:val="000000"/>
                <w:sz w:val="24"/>
                <w:szCs w:val="24"/>
                <w:highlight w:val="none"/>
              </w:rPr>
              <w:t>，试验后无渗漏、出汗或其他缺陷。</w:t>
            </w:r>
          </w:p>
          <w:p w14:paraId="160390F5">
            <w:pPr>
              <w:adjustRightInd w:val="0"/>
              <w:snapToGrid w:val="0"/>
              <w:spacing w:line="240" w:lineRule="auto"/>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3.8 管件力学性能必须符合：拉伸强度≥420Mpa，伸长率≥5%，布式硬度值≤250HBW。</w:t>
            </w:r>
          </w:p>
          <w:p w14:paraId="4CD05361">
            <w:pPr>
              <w:adjustRightInd w:val="0"/>
              <w:snapToGrid w:val="0"/>
              <w:spacing w:line="240" w:lineRule="auto"/>
              <w:contextualSpacing/>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4、一般要求</w:t>
            </w:r>
          </w:p>
          <w:p w14:paraId="4510953E">
            <w:pPr>
              <w:adjustRightInd w:val="0"/>
              <w:snapToGrid w:val="0"/>
              <w:spacing w:line="240" w:lineRule="auto"/>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管件应有清晰持久的标记。标记至少应有以下内容：</w:t>
            </w:r>
          </w:p>
          <w:p w14:paraId="686ABF6C">
            <w:pPr>
              <w:adjustRightInd w:val="0"/>
              <w:snapToGrid w:val="0"/>
              <w:spacing w:line="240" w:lineRule="auto"/>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 制造厂名称或商标；②炉号；③球墨铸铁材质；④公称口径DN；⑤ 法兰PN值；⑥ 插口插入深度标识；⑦ 执行的国家标准；⑧ 产品批号。</w:t>
            </w:r>
          </w:p>
          <w:p w14:paraId="273F82B7">
            <w:pPr>
              <w:adjustRightInd w:val="0"/>
              <w:snapToGrid w:val="0"/>
              <w:spacing w:line="240" w:lineRule="auto"/>
              <w:contextualSpacing/>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以上前五项要铸出或冷冲，后三项可用任何方法进行喷印或打印。</w:t>
            </w:r>
          </w:p>
          <w:p w14:paraId="70DC0A89">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具体要求以招标文件要求为准。</w:t>
            </w:r>
          </w:p>
          <w:p w14:paraId="46CB67C9">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三、本项目招标不接受联合体投标。</w:t>
            </w:r>
          </w:p>
          <w:p w14:paraId="2C44AF1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auto"/>
                <w:kern w:val="0"/>
                <w:sz w:val="24"/>
                <w:szCs w:val="24"/>
                <w:u w:val="none"/>
                <w:lang w:val="en-US" w:eastAsia="zh-CN" w:bidi="ar"/>
              </w:rPr>
              <w:t>四、本项目参考品牌：</w:t>
            </w:r>
            <w:r>
              <w:rPr>
                <w:rFonts w:hint="eastAsia" w:ascii="宋体" w:hAnsi="宋体" w:eastAsia="宋体" w:cs="宋体"/>
                <w:b/>
                <w:bCs/>
                <w:i w:val="0"/>
                <w:iCs w:val="0"/>
                <w:color w:val="auto"/>
                <w:kern w:val="0"/>
                <w:sz w:val="24"/>
                <w:szCs w:val="24"/>
                <w:highlight w:val="none"/>
                <w:u w:val="none"/>
                <w:lang w:val="en-US" w:eastAsia="zh-CN" w:bidi="ar"/>
              </w:rPr>
              <w:t>新XINXING兴(芜湖)、泫氏SUNS(高平)、繁发(安徽繁昌)、辰龙(江苏徐州)、丰鑫管件（辽宁）</w:t>
            </w:r>
            <w:r>
              <w:rPr>
                <w:rFonts w:hint="eastAsia" w:ascii="宋体" w:hAnsi="宋体" w:eastAsia="宋体" w:cs="宋体"/>
                <w:b/>
                <w:bCs/>
                <w:i w:val="0"/>
                <w:iCs w:val="0"/>
                <w:color w:val="auto"/>
                <w:kern w:val="0"/>
                <w:sz w:val="24"/>
                <w:szCs w:val="24"/>
                <w:u w:val="none"/>
                <w:lang w:val="en-US" w:eastAsia="zh-CN" w:bidi="ar"/>
              </w:rPr>
              <w:t>，参加报价的供应商如以参考品牌进行报价的，需提供所投品牌商标证明（若为经销商的，需提供所投品牌的授权委托书及品牌商标证明）；本次参与询价的报价供应商如以参考品牌之外的进行报价，报价产品的技术参数或质量标准不得低于参考品牌的档次，同时报价供应商应当提供</w:t>
            </w:r>
            <w:r>
              <w:rPr>
                <w:rFonts w:hint="eastAsia" w:ascii="宋体" w:hAnsi="宋体" w:eastAsia="宋体" w:cs="宋体"/>
                <w:b/>
                <w:bCs/>
                <w:i w:val="0"/>
                <w:iCs w:val="0"/>
                <w:color w:val="000000"/>
                <w:kern w:val="0"/>
                <w:sz w:val="24"/>
                <w:szCs w:val="24"/>
                <w:u w:val="none"/>
                <w:lang w:val="en-US" w:eastAsia="zh-CN" w:bidi="ar"/>
              </w:rPr>
              <w:t xml:space="preserve">拟投货物的技术资料及相关证明材料复印件并加盖公章与报价文件、资格要求的证明材料，以邮寄方式到达指定接收地址为准（江苏天宏华信工程投资管理咨询有限公司（启东市南苑西路1168号国动产业园2号楼402室），联系人：杨女士，联系电话：0513-83248588）。    </w:t>
            </w:r>
          </w:p>
        </w:tc>
      </w:tr>
    </w:tbl>
    <w:p w14:paraId="40D2402A">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报价单位（盖章）：         </w:t>
      </w:r>
    </w:p>
    <w:p w14:paraId="0E194DEF">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联系人：       </w:t>
      </w:r>
    </w:p>
    <w:p w14:paraId="092C7C99">
      <w:pPr>
        <w:tabs>
          <w:tab w:val="left" w:pos="5325"/>
        </w:tabs>
        <w:snapToGrid w:val="0"/>
        <w:spacing w:line="360" w:lineRule="auto"/>
        <w:contextualSpacing/>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联系电话：       </w:t>
      </w:r>
      <w:r>
        <w:rPr>
          <w:rFonts w:hint="eastAsia" w:ascii="宋体" w:hAnsi="宋体"/>
          <w:b/>
          <w:color w:val="000000"/>
          <w:sz w:val="28"/>
          <w:szCs w:val="28"/>
          <w:lang w:val="en-US" w:eastAsia="zh-CN"/>
        </w:rPr>
        <w:t xml:space="preserve">  </w:t>
      </w:r>
    </w:p>
    <w:p w14:paraId="2E99BD8C">
      <w:pPr>
        <w:tabs>
          <w:tab w:val="left" w:pos="5325"/>
        </w:tabs>
        <w:snapToGrid w:val="0"/>
        <w:spacing w:line="360" w:lineRule="auto"/>
        <w:contextualSpacing/>
        <w:rPr>
          <w:rFonts w:hint="default"/>
          <w:lang w:val="en-US" w:eastAsia="zh-CN"/>
        </w:rPr>
      </w:pPr>
      <w:r>
        <w:rPr>
          <w:rFonts w:hint="eastAsia" w:ascii="宋体" w:hAnsi="宋体"/>
          <w:b/>
          <w:color w:val="000000"/>
          <w:sz w:val="28"/>
          <w:szCs w:val="28"/>
        </w:rPr>
        <w:t>报价</w:t>
      </w:r>
      <w:r>
        <w:rPr>
          <w:rFonts w:hint="eastAsia" w:ascii="宋体" w:hAnsi="宋体"/>
          <w:b/>
          <w:color w:val="000000"/>
          <w:sz w:val="28"/>
          <w:szCs w:val="28"/>
          <w:lang w:eastAsia="zh-CN"/>
        </w:rPr>
        <w:t>时间</w:t>
      </w:r>
      <w:r>
        <w:rPr>
          <w:rFonts w:hint="eastAsia" w:ascii="宋体" w:hAnsi="宋体"/>
          <w:b/>
          <w:color w:val="000000"/>
          <w:sz w:val="28"/>
          <w:szCs w:val="28"/>
        </w:rPr>
        <w:t>：</w:t>
      </w: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1534182"/>
    <w:rsid w:val="01F36FCC"/>
    <w:rsid w:val="02004145"/>
    <w:rsid w:val="0215722A"/>
    <w:rsid w:val="03A522CC"/>
    <w:rsid w:val="03EC63FF"/>
    <w:rsid w:val="04167BE0"/>
    <w:rsid w:val="04FE1868"/>
    <w:rsid w:val="055210FB"/>
    <w:rsid w:val="05723828"/>
    <w:rsid w:val="060F014D"/>
    <w:rsid w:val="0639341C"/>
    <w:rsid w:val="06C9698C"/>
    <w:rsid w:val="06DE411B"/>
    <w:rsid w:val="081E138C"/>
    <w:rsid w:val="081F710D"/>
    <w:rsid w:val="08767CBA"/>
    <w:rsid w:val="09CE1802"/>
    <w:rsid w:val="0ADA1283"/>
    <w:rsid w:val="0B837613"/>
    <w:rsid w:val="0C807FF6"/>
    <w:rsid w:val="0C922E30"/>
    <w:rsid w:val="0D18108F"/>
    <w:rsid w:val="0D9A7247"/>
    <w:rsid w:val="0ECA2A51"/>
    <w:rsid w:val="0EE36B7D"/>
    <w:rsid w:val="0F0243F5"/>
    <w:rsid w:val="0F6618B1"/>
    <w:rsid w:val="0FD0740D"/>
    <w:rsid w:val="108154AD"/>
    <w:rsid w:val="1087349F"/>
    <w:rsid w:val="10BD60DC"/>
    <w:rsid w:val="111E6007"/>
    <w:rsid w:val="11CE6168"/>
    <w:rsid w:val="12EA747F"/>
    <w:rsid w:val="13121E77"/>
    <w:rsid w:val="13455F77"/>
    <w:rsid w:val="137941FB"/>
    <w:rsid w:val="143C0654"/>
    <w:rsid w:val="14AA41AE"/>
    <w:rsid w:val="152A4FA3"/>
    <w:rsid w:val="15B72A35"/>
    <w:rsid w:val="15C50828"/>
    <w:rsid w:val="162D1670"/>
    <w:rsid w:val="16A21E8F"/>
    <w:rsid w:val="16FE7A76"/>
    <w:rsid w:val="183C6614"/>
    <w:rsid w:val="190E196B"/>
    <w:rsid w:val="19AB17F4"/>
    <w:rsid w:val="1A850712"/>
    <w:rsid w:val="1AB10CD6"/>
    <w:rsid w:val="1B932687"/>
    <w:rsid w:val="1B9F513A"/>
    <w:rsid w:val="1BCA6B98"/>
    <w:rsid w:val="1CAC06B2"/>
    <w:rsid w:val="1E8B21FB"/>
    <w:rsid w:val="1FF00B97"/>
    <w:rsid w:val="221847B8"/>
    <w:rsid w:val="2262713B"/>
    <w:rsid w:val="228D26CE"/>
    <w:rsid w:val="22CA2753"/>
    <w:rsid w:val="23A328E1"/>
    <w:rsid w:val="240E2A35"/>
    <w:rsid w:val="245876FD"/>
    <w:rsid w:val="24BA1822"/>
    <w:rsid w:val="251A293E"/>
    <w:rsid w:val="257C6C31"/>
    <w:rsid w:val="25DC55DB"/>
    <w:rsid w:val="25F86C3B"/>
    <w:rsid w:val="26396774"/>
    <w:rsid w:val="26F51311"/>
    <w:rsid w:val="270B5BBD"/>
    <w:rsid w:val="274517C9"/>
    <w:rsid w:val="27B57E67"/>
    <w:rsid w:val="27E64767"/>
    <w:rsid w:val="2940272E"/>
    <w:rsid w:val="295308A3"/>
    <w:rsid w:val="2976130F"/>
    <w:rsid w:val="2A1306E4"/>
    <w:rsid w:val="2B54029B"/>
    <w:rsid w:val="2BA53061"/>
    <w:rsid w:val="2C766B0B"/>
    <w:rsid w:val="2CEF3FB8"/>
    <w:rsid w:val="2EA874E8"/>
    <w:rsid w:val="2ED5212C"/>
    <w:rsid w:val="2FA63021"/>
    <w:rsid w:val="30552FD2"/>
    <w:rsid w:val="309803CF"/>
    <w:rsid w:val="30C90D87"/>
    <w:rsid w:val="30F33128"/>
    <w:rsid w:val="322A22B1"/>
    <w:rsid w:val="33120C97"/>
    <w:rsid w:val="33E5680D"/>
    <w:rsid w:val="346F257B"/>
    <w:rsid w:val="34BE4316"/>
    <w:rsid w:val="36026B8F"/>
    <w:rsid w:val="36F07953"/>
    <w:rsid w:val="37DC268D"/>
    <w:rsid w:val="3885236D"/>
    <w:rsid w:val="391E3890"/>
    <w:rsid w:val="399E0FFD"/>
    <w:rsid w:val="3AF066C3"/>
    <w:rsid w:val="3B057B84"/>
    <w:rsid w:val="3BEA51F5"/>
    <w:rsid w:val="3C0733A8"/>
    <w:rsid w:val="3C0C6D3C"/>
    <w:rsid w:val="3C6A6406"/>
    <w:rsid w:val="3CD22011"/>
    <w:rsid w:val="3D2C0ADF"/>
    <w:rsid w:val="3D633667"/>
    <w:rsid w:val="3E07730C"/>
    <w:rsid w:val="3E1A36CE"/>
    <w:rsid w:val="3E1E176E"/>
    <w:rsid w:val="3E202F15"/>
    <w:rsid w:val="3E9078C4"/>
    <w:rsid w:val="3E9E0AF7"/>
    <w:rsid w:val="3F147BD8"/>
    <w:rsid w:val="3FD55619"/>
    <w:rsid w:val="404B6C28"/>
    <w:rsid w:val="40C63B34"/>
    <w:rsid w:val="40E65AF9"/>
    <w:rsid w:val="420951A2"/>
    <w:rsid w:val="424A7A77"/>
    <w:rsid w:val="42875CFB"/>
    <w:rsid w:val="42C92294"/>
    <w:rsid w:val="42F9198D"/>
    <w:rsid w:val="43132246"/>
    <w:rsid w:val="43754D8C"/>
    <w:rsid w:val="43D92990"/>
    <w:rsid w:val="43F73926"/>
    <w:rsid w:val="442F0C74"/>
    <w:rsid w:val="443A2E39"/>
    <w:rsid w:val="452F3C74"/>
    <w:rsid w:val="454930C6"/>
    <w:rsid w:val="45FA78C3"/>
    <w:rsid w:val="4700649A"/>
    <w:rsid w:val="47675677"/>
    <w:rsid w:val="48077256"/>
    <w:rsid w:val="48F53072"/>
    <w:rsid w:val="494621F7"/>
    <w:rsid w:val="4A8F0C0B"/>
    <w:rsid w:val="4B9761E7"/>
    <w:rsid w:val="4C1B0BC7"/>
    <w:rsid w:val="4C4458EE"/>
    <w:rsid w:val="4C7F348C"/>
    <w:rsid w:val="4C9457EE"/>
    <w:rsid w:val="4CA44F5B"/>
    <w:rsid w:val="4CDC0FCC"/>
    <w:rsid w:val="4DCA28A4"/>
    <w:rsid w:val="4F25246D"/>
    <w:rsid w:val="50EA7F43"/>
    <w:rsid w:val="50F06B23"/>
    <w:rsid w:val="513973A6"/>
    <w:rsid w:val="5153495F"/>
    <w:rsid w:val="51ED6A4B"/>
    <w:rsid w:val="52304CA0"/>
    <w:rsid w:val="526D1A50"/>
    <w:rsid w:val="52DA5D1C"/>
    <w:rsid w:val="53C8523F"/>
    <w:rsid w:val="54212AF2"/>
    <w:rsid w:val="54F36E09"/>
    <w:rsid w:val="55612C3A"/>
    <w:rsid w:val="558820D0"/>
    <w:rsid w:val="559612BE"/>
    <w:rsid w:val="564176C4"/>
    <w:rsid w:val="57346FE0"/>
    <w:rsid w:val="574D5E7B"/>
    <w:rsid w:val="57F83763"/>
    <w:rsid w:val="58024C20"/>
    <w:rsid w:val="59494735"/>
    <w:rsid w:val="59DB49CF"/>
    <w:rsid w:val="5A3B2D3C"/>
    <w:rsid w:val="5A683FFF"/>
    <w:rsid w:val="5AA769EB"/>
    <w:rsid w:val="5AD74C21"/>
    <w:rsid w:val="5AF102AB"/>
    <w:rsid w:val="5B1D51DA"/>
    <w:rsid w:val="5B25478F"/>
    <w:rsid w:val="5B546ADF"/>
    <w:rsid w:val="5C664E8E"/>
    <w:rsid w:val="5DBF29C4"/>
    <w:rsid w:val="5EA0416F"/>
    <w:rsid w:val="5ED66352"/>
    <w:rsid w:val="5F5E0F4F"/>
    <w:rsid w:val="5F7354A7"/>
    <w:rsid w:val="60DD2497"/>
    <w:rsid w:val="62111F83"/>
    <w:rsid w:val="62B14348"/>
    <w:rsid w:val="62D85246"/>
    <w:rsid w:val="631F5A7F"/>
    <w:rsid w:val="63800070"/>
    <w:rsid w:val="63F97E40"/>
    <w:rsid w:val="640E6385"/>
    <w:rsid w:val="641454FD"/>
    <w:rsid w:val="64B20D48"/>
    <w:rsid w:val="66026746"/>
    <w:rsid w:val="662752EF"/>
    <w:rsid w:val="66DD5F97"/>
    <w:rsid w:val="67896ED4"/>
    <w:rsid w:val="68BA0755"/>
    <w:rsid w:val="68E65C61"/>
    <w:rsid w:val="693F2885"/>
    <w:rsid w:val="69BC72C7"/>
    <w:rsid w:val="6B342BA7"/>
    <w:rsid w:val="6CF54EC6"/>
    <w:rsid w:val="6D967C55"/>
    <w:rsid w:val="6D983C19"/>
    <w:rsid w:val="6F1E6154"/>
    <w:rsid w:val="6F8F0EBD"/>
    <w:rsid w:val="6FB438A3"/>
    <w:rsid w:val="701F75C9"/>
    <w:rsid w:val="703F45D4"/>
    <w:rsid w:val="708F5A33"/>
    <w:rsid w:val="71072C9F"/>
    <w:rsid w:val="719800FE"/>
    <w:rsid w:val="719C4374"/>
    <w:rsid w:val="724D47CD"/>
    <w:rsid w:val="7289234D"/>
    <w:rsid w:val="72D554BB"/>
    <w:rsid w:val="736E263D"/>
    <w:rsid w:val="7373088D"/>
    <w:rsid w:val="73F3271F"/>
    <w:rsid w:val="74A2409E"/>
    <w:rsid w:val="75062D14"/>
    <w:rsid w:val="751B37E9"/>
    <w:rsid w:val="755D5634"/>
    <w:rsid w:val="75CD4430"/>
    <w:rsid w:val="75DF4EC9"/>
    <w:rsid w:val="7638442C"/>
    <w:rsid w:val="765F0367"/>
    <w:rsid w:val="76E43B18"/>
    <w:rsid w:val="77AF3849"/>
    <w:rsid w:val="78095EBE"/>
    <w:rsid w:val="78937BBC"/>
    <w:rsid w:val="792C41C6"/>
    <w:rsid w:val="79852FF6"/>
    <w:rsid w:val="7ACC2155"/>
    <w:rsid w:val="7B7425F2"/>
    <w:rsid w:val="7C156B31"/>
    <w:rsid w:val="7C5E095D"/>
    <w:rsid w:val="7CAC1AA7"/>
    <w:rsid w:val="7CB80EEC"/>
    <w:rsid w:val="7CC32ED8"/>
    <w:rsid w:val="7D105E6B"/>
    <w:rsid w:val="7D1C36F2"/>
    <w:rsid w:val="7DB32A41"/>
    <w:rsid w:val="7DD66E82"/>
    <w:rsid w:val="7F0B578D"/>
    <w:rsid w:val="7F131561"/>
    <w:rsid w:val="7FE2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5"/>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7"/>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9"/>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30"/>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1"/>
    <w:autoRedefine/>
    <w:qFormat/>
    <w:uiPriority w:val="0"/>
    <w:pPr>
      <w:spacing w:after="120"/>
    </w:pPr>
    <w:rPr>
      <w:rFonts w:ascii="Times New Roman" w:hAnsi="Times New Roman" w:eastAsia="宋体" w:cs="Times New Roman"/>
      <w:kern w:val="0"/>
      <w:sz w:val="24"/>
      <w:szCs w:val="24"/>
    </w:rPr>
  </w:style>
  <w:style w:type="paragraph" w:styleId="9">
    <w:name w:val="Normal Indent"/>
    <w:basedOn w:val="1"/>
    <w:qFormat/>
    <w:uiPriority w:val="0"/>
    <w:pPr>
      <w:ind w:firstLine="420"/>
    </w:pPr>
    <w:rPr>
      <w:szCs w:val="20"/>
    </w:rPr>
  </w:style>
  <w:style w:type="paragraph" w:styleId="10">
    <w:name w:val="annotation text"/>
    <w:basedOn w:val="1"/>
    <w:semiHidden/>
    <w:unhideWhenUsed/>
    <w:qFormat/>
    <w:uiPriority w:val="99"/>
    <w:pPr>
      <w:jc w:val="left"/>
    </w:pPr>
  </w:style>
  <w:style w:type="paragraph" w:styleId="11">
    <w:name w:val="Body Text Indent"/>
    <w:basedOn w:val="1"/>
    <w:next w:val="12"/>
    <w:autoRedefine/>
    <w:qFormat/>
    <w:uiPriority w:val="0"/>
    <w:pPr>
      <w:ind w:left="420" w:leftChars="200"/>
    </w:pPr>
  </w:style>
  <w:style w:type="paragraph" w:styleId="12">
    <w:name w:val="envelope return"/>
    <w:basedOn w:val="1"/>
    <w:autoRedefine/>
    <w:qFormat/>
    <w:uiPriority w:val="0"/>
    <w:pPr>
      <w:snapToGrid w:val="0"/>
    </w:pPr>
    <w:rPr>
      <w:rFonts w:ascii="Arial" w:hAnsi="Arial"/>
    </w:rPr>
  </w:style>
  <w:style w:type="paragraph" w:styleId="13">
    <w:name w:val="index 4"/>
    <w:basedOn w:val="1"/>
    <w:next w:val="1"/>
    <w:autoRedefine/>
    <w:unhideWhenUsed/>
    <w:qFormat/>
    <w:uiPriority w:val="99"/>
    <w:pPr>
      <w:ind w:left="600" w:leftChars="600"/>
    </w:pPr>
    <w:rPr>
      <w:rFonts w:ascii="Times New Roman" w:hAnsi="Times New Roman" w:cs="Times New Roman"/>
    </w:rPr>
  </w:style>
  <w:style w:type="paragraph" w:styleId="14">
    <w:name w:val="footer"/>
    <w:basedOn w:val="1"/>
    <w:autoRedefine/>
    <w:semiHidden/>
    <w:unhideWhenUsed/>
    <w:qFormat/>
    <w:uiPriority w:val="99"/>
    <w:pPr>
      <w:tabs>
        <w:tab w:val="center" w:pos="4153"/>
        <w:tab w:val="right" w:pos="8306"/>
      </w:tabs>
      <w:snapToGrid w:val="0"/>
      <w:jc w:val="left"/>
    </w:pPr>
    <w:rPr>
      <w:sz w:val="18"/>
    </w:rPr>
  </w:style>
  <w:style w:type="paragraph" w:styleId="1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next w:val="17"/>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
    <w:name w:val="*正文"/>
    <w:basedOn w:val="1"/>
    <w:qFormat/>
    <w:uiPriority w:val="0"/>
    <w:rPr>
      <w:rFonts w:ascii="宋体" w:hAnsi="宋体"/>
      <w:kern w:val="0"/>
      <w:szCs w:val="24"/>
    </w:rPr>
  </w:style>
  <w:style w:type="paragraph" w:styleId="18">
    <w:name w:val="Body Text First Indent"/>
    <w:basedOn w:val="2"/>
    <w:next w:val="19"/>
    <w:autoRedefine/>
    <w:unhideWhenUsed/>
    <w:qFormat/>
    <w:uiPriority w:val="99"/>
    <w:pPr>
      <w:ind w:firstLine="420" w:firstLineChars="100"/>
    </w:pPr>
  </w:style>
  <w:style w:type="paragraph" w:styleId="19">
    <w:name w:val="Body Text First Indent 2"/>
    <w:basedOn w:val="11"/>
    <w:autoRedefine/>
    <w:qFormat/>
    <w:uiPriority w:val="0"/>
    <w:pPr>
      <w:spacing w:after="120"/>
      <w:ind w:firstLine="420" w:firstLineChars="200"/>
    </w:pPr>
    <w:rPr>
      <w:rFonts w:ascii="Times New Roman" w:hAnsi="Times New Roman"/>
      <w:szCs w:val="20"/>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Heading1"/>
    <w:basedOn w:val="1"/>
    <w:next w:val="1"/>
    <w:qFormat/>
    <w:uiPriority w:val="0"/>
    <w:pPr>
      <w:keepNext/>
      <w:keepLines/>
      <w:spacing w:before="340" w:after="330" w:line="576" w:lineRule="auto"/>
      <w:textAlignment w:val="baseline"/>
    </w:pPr>
    <w:rPr>
      <w:b/>
      <w:bCs/>
      <w:kern w:val="44"/>
      <w:sz w:val="44"/>
      <w:szCs w:val="44"/>
    </w:rPr>
  </w:style>
  <w:style w:type="paragraph" w:customStyle="1" w:styleId="24">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
    <w:name w:val="标题 1 Char"/>
    <w:basedOn w:val="22"/>
    <w:link w:val="3"/>
    <w:autoRedefine/>
    <w:qFormat/>
    <w:uiPriority w:val="9"/>
    <w:rPr>
      <w:b/>
      <w:bCs/>
      <w:kern w:val="44"/>
      <w:sz w:val="44"/>
      <w:szCs w:val="44"/>
    </w:rPr>
  </w:style>
  <w:style w:type="character" w:customStyle="1" w:styleId="26">
    <w:name w:val="标题 2 Char"/>
    <w:basedOn w:val="22"/>
    <w:link w:val="4"/>
    <w:autoRedefine/>
    <w:qFormat/>
    <w:uiPriority w:val="9"/>
    <w:rPr>
      <w:rFonts w:asciiTheme="majorHAnsi" w:hAnsiTheme="majorHAnsi" w:eastAsiaTheme="majorEastAsia" w:cstheme="majorBidi"/>
      <w:b/>
      <w:bCs/>
      <w:sz w:val="32"/>
      <w:szCs w:val="32"/>
    </w:rPr>
  </w:style>
  <w:style w:type="character" w:customStyle="1" w:styleId="27">
    <w:name w:val="标题 3 Char"/>
    <w:basedOn w:val="22"/>
    <w:link w:val="5"/>
    <w:autoRedefine/>
    <w:qFormat/>
    <w:uiPriority w:val="9"/>
    <w:rPr>
      <w:b/>
      <w:bCs/>
      <w:sz w:val="32"/>
      <w:szCs w:val="32"/>
    </w:rPr>
  </w:style>
  <w:style w:type="character" w:customStyle="1" w:styleId="28">
    <w:name w:val="标题 4 Char"/>
    <w:basedOn w:val="22"/>
    <w:link w:val="6"/>
    <w:autoRedefine/>
    <w:qFormat/>
    <w:uiPriority w:val="9"/>
    <w:rPr>
      <w:rFonts w:asciiTheme="majorHAnsi" w:hAnsiTheme="majorHAnsi" w:eastAsiaTheme="majorEastAsia" w:cstheme="majorBidi"/>
      <w:b/>
      <w:bCs/>
      <w:sz w:val="28"/>
      <w:szCs w:val="28"/>
    </w:rPr>
  </w:style>
  <w:style w:type="character" w:customStyle="1" w:styleId="29">
    <w:name w:val="标题 5 Char"/>
    <w:basedOn w:val="22"/>
    <w:link w:val="7"/>
    <w:autoRedefine/>
    <w:qFormat/>
    <w:uiPriority w:val="9"/>
    <w:rPr>
      <w:b/>
      <w:bCs/>
      <w:sz w:val="28"/>
      <w:szCs w:val="28"/>
    </w:rPr>
  </w:style>
  <w:style w:type="character" w:customStyle="1" w:styleId="30">
    <w:name w:val="标题 6 Char"/>
    <w:basedOn w:val="22"/>
    <w:link w:val="8"/>
    <w:autoRedefine/>
    <w:qFormat/>
    <w:uiPriority w:val="9"/>
    <w:rPr>
      <w:rFonts w:asciiTheme="majorHAnsi" w:hAnsiTheme="majorHAnsi" w:eastAsiaTheme="majorEastAsia" w:cstheme="majorBidi"/>
      <w:b/>
      <w:bCs/>
      <w:sz w:val="24"/>
      <w:szCs w:val="24"/>
    </w:rPr>
  </w:style>
  <w:style w:type="character" w:customStyle="1" w:styleId="31">
    <w:name w:val="正文文本 Char"/>
    <w:basedOn w:val="22"/>
    <w:link w:val="2"/>
    <w:autoRedefine/>
    <w:qFormat/>
    <w:uiPriority w:val="0"/>
    <w:rPr>
      <w:rFonts w:ascii="Times New Roman" w:hAnsi="Times New Roman" w:eastAsia="宋体" w:cs="Times New Roman"/>
      <w:kern w:val="0"/>
      <w:sz w:val="24"/>
      <w:szCs w:val="24"/>
    </w:rPr>
  </w:style>
  <w:style w:type="character" w:customStyle="1" w:styleId="32">
    <w:name w:val="NormalCharacter"/>
    <w:autoRedefine/>
    <w:qFormat/>
    <w:uiPriority w:val="99"/>
  </w:style>
  <w:style w:type="character" w:customStyle="1" w:styleId="33">
    <w:name w:val="font21"/>
    <w:basedOn w:val="22"/>
    <w:autoRedefine/>
    <w:qFormat/>
    <w:uiPriority w:val="0"/>
    <w:rPr>
      <w:rFonts w:hint="eastAsia" w:ascii="宋体" w:hAnsi="宋体" w:eastAsia="宋体" w:cs="宋体"/>
      <w:color w:val="000000"/>
      <w:sz w:val="20"/>
      <w:szCs w:val="20"/>
      <w:u w:val="none"/>
    </w:rPr>
  </w:style>
  <w:style w:type="character" w:customStyle="1" w:styleId="34">
    <w:name w:val="font41"/>
    <w:basedOn w:val="22"/>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2863</Words>
  <Characters>3189</Characters>
  <Lines>39</Lines>
  <Paragraphs>10</Paragraphs>
  <TotalTime>1</TotalTime>
  <ScaleCrop>false</ScaleCrop>
  <LinksUpToDate>false</LinksUpToDate>
  <CharactersWithSpaces>3295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Stella</cp:lastModifiedBy>
  <cp:lastPrinted>2025-09-23T06:46:12Z</cp:lastPrinted>
  <dcterms:modified xsi:type="dcterms:W3CDTF">2025-09-23T07:25:11Z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5F3B43D7E2D741A38991340ED9378569_13</vt:lpwstr>
  </property>
  <property fmtid="{D5CDD505-2E9C-101B-9397-08002B2CF9AE}" pid="4" name="KSOTemplateDocerSaveRecord">
    <vt:lpwstr>eyJoZGlkIjoiZTNlMmY5YjcxZTRkZjg5N2MyMWI3YzFkZTQ2OTdlZWQiLCJ1c2VySWQiOiI0NTEyNTg0MjYifQ==</vt:lpwstr>
  </property>
</Properties>
</file>