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75B12">
      <w:pPr>
        <w:jc w:val="center"/>
        <w:rPr>
          <w:rFonts w:hint="eastAsia" w:ascii="宋体" w:hAnsi="宋体" w:cs="宋体"/>
          <w:b/>
          <w:spacing w:val="20"/>
          <w:sz w:val="44"/>
          <w:highlight w:val="none"/>
        </w:rPr>
      </w:pPr>
    </w:p>
    <w:p w14:paraId="348D502C">
      <w:pPr>
        <w:jc w:val="center"/>
        <w:rPr>
          <w:rFonts w:hint="eastAsia" w:ascii="宋体" w:hAnsi="宋体" w:eastAsia="宋体" w:cs="宋体"/>
          <w:b/>
          <w:spacing w:val="20"/>
          <w:sz w:val="36"/>
          <w:szCs w:val="36"/>
          <w:highlight w:val="none"/>
          <w:lang w:eastAsia="zh-CN"/>
        </w:rPr>
      </w:pPr>
      <w:r>
        <w:rPr>
          <w:rFonts w:hint="eastAsia" w:ascii="宋体" w:hAnsi="宋体" w:cs="宋体"/>
          <w:b/>
          <w:spacing w:val="20"/>
          <w:sz w:val="44"/>
          <w:szCs w:val="44"/>
          <w:highlight w:val="none"/>
          <w:lang w:eastAsia="zh-CN"/>
        </w:rPr>
        <w:t>启东市自来水厂有限公司2026年度设备运输、材料搬运使用随车吊、吊车服务年度采购项目</w:t>
      </w:r>
    </w:p>
    <w:p w14:paraId="5EEF16BB">
      <w:pPr>
        <w:rPr>
          <w:rFonts w:hint="eastAsia" w:ascii="宋体" w:hAnsi="宋体" w:cs="宋体"/>
          <w:b/>
          <w:spacing w:val="20"/>
          <w:sz w:val="44"/>
          <w:highlight w:val="none"/>
        </w:rPr>
      </w:pPr>
    </w:p>
    <w:p w14:paraId="501B7882">
      <w:pPr>
        <w:rPr>
          <w:rFonts w:hint="eastAsia" w:ascii="宋体" w:hAnsi="宋体" w:cs="宋体"/>
          <w:b/>
          <w:spacing w:val="20"/>
          <w:sz w:val="44"/>
          <w:highlight w:val="none"/>
        </w:rPr>
      </w:pPr>
    </w:p>
    <w:p w14:paraId="446001E3">
      <w:pPr>
        <w:pStyle w:val="2"/>
        <w:rPr>
          <w:rFonts w:hint="eastAsia"/>
          <w:highlight w:val="none"/>
        </w:rPr>
      </w:pPr>
    </w:p>
    <w:p w14:paraId="65963DA2">
      <w:pPr>
        <w:jc w:val="center"/>
        <w:rPr>
          <w:rFonts w:hint="eastAsia" w:ascii="宋体" w:hAnsi="宋体" w:cs="宋体"/>
          <w:b/>
          <w:sz w:val="100"/>
          <w:szCs w:val="100"/>
          <w:highlight w:val="none"/>
        </w:rPr>
      </w:pPr>
      <w:r>
        <w:rPr>
          <w:rFonts w:hint="eastAsia" w:ascii="宋体" w:hAnsi="宋体" w:eastAsia="宋体" w:cs="宋体"/>
          <w:b/>
          <w:color w:val="auto"/>
          <w:sz w:val="100"/>
          <w:szCs w:val="100"/>
          <w:highlight w:val="none"/>
          <w:lang w:eastAsia="zh-CN"/>
        </w:rPr>
        <w:t>竞争性</w:t>
      </w:r>
      <w:r>
        <w:rPr>
          <w:rFonts w:hint="eastAsia" w:ascii="宋体" w:hAnsi="宋体" w:cs="宋体"/>
          <w:b/>
          <w:sz w:val="100"/>
          <w:szCs w:val="100"/>
          <w:highlight w:val="none"/>
        </w:rPr>
        <w:t>谈判文件</w:t>
      </w:r>
    </w:p>
    <w:p w14:paraId="18C06CED">
      <w:pPr>
        <w:keepNext/>
        <w:spacing w:line="500" w:lineRule="exact"/>
        <w:jc w:val="center"/>
        <w:outlineLvl w:val="5"/>
        <w:rPr>
          <w:rFonts w:hint="eastAsia" w:ascii="宋体" w:hAnsi="宋体" w:cs="宋体"/>
          <w:b/>
          <w:kern w:val="0"/>
          <w:sz w:val="44"/>
          <w:szCs w:val="20"/>
          <w:highlight w:val="none"/>
        </w:rPr>
      </w:pPr>
    </w:p>
    <w:p w14:paraId="1DA2842F">
      <w:pPr>
        <w:keepNext/>
        <w:spacing w:line="500" w:lineRule="exact"/>
        <w:jc w:val="center"/>
        <w:outlineLvl w:val="5"/>
        <w:rPr>
          <w:rFonts w:hint="eastAsia" w:ascii="宋体" w:hAnsi="宋体" w:cs="宋体"/>
          <w:b/>
          <w:kern w:val="0"/>
          <w:sz w:val="44"/>
          <w:szCs w:val="20"/>
          <w:highlight w:val="none"/>
        </w:rPr>
      </w:pPr>
    </w:p>
    <w:p w14:paraId="444CEDAA">
      <w:pPr>
        <w:spacing w:line="500" w:lineRule="exact"/>
        <w:jc w:val="center"/>
        <w:rPr>
          <w:rFonts w:hint="eastAsia" w:ascii="宋体" w:hAnsi="宋体" w:cs="宋体"/>
          <w:b/>
          <w:sz w:val="36"/>
          <w:highlight w:val="none"/>
        </w:rPr>
      </w:pPr>
    </w:p>
    <w:p w14:paraId="192E3E25">
      <w:pPr>
        <w:spacing w:line="500" w:lineRule="exact"/>
        <w:rPr>
          <w:rFonts w:hint="eastAsia" w:ascii="宋体" w:hAnsi="宋体" w:cs="宋体"/>
          <w:highlight w:val="none"/>
        </w:rPr>
      </w:pPr>
    </w:p>
    <w:p w14:paraId="0EA77A23">
      <w:pPr>
        <w:spacing w:line="500" w:lineRule="exact"/>
        <w:rPr>
          <w:rFonts w:hint="eastAsia" w:ascii="宋体" w:hAnsi="宋体" w:cs="宋体"/>
          <w:sz w:val="32"/>
          <w:highlight w:val="none"/>
        </w:rPr>
      </w:pPr>
    </w:p>
    <w:p w14:paraId="0CDC9212">
      <w:pPr>
        <w:spacing w:line="500" w:lineRule="exact"/>
        <w:jc w:val="center"/>
        <w:rPr>
          <w:rFonts w:hint="eastAsia" w:ascii="宋体" w:hAnsi="宋体" w:cs="宋体"/>
          <w:sz w:val="32"/>
          <w:highlight w:val="none"/>
        </w:rPr>
      </w:pPr>
    </w:p>
    <w:p w14:paraId="2F142982">
      <w:pPr>
        <w:pStyle w:val="2"/>
        <w:rPr>
          <w:rFonts w:hint="eastAsia"/>
          <w:highlight w:val="none"/>
        </w:rPr>
      </w:pPr>
    </w:p>
    <w:p w14:paraId="6A13ECF8">
      <w:pPr>
        <w:spacing w:line="500" w:lineRule="exact"/>
        <w:jc w:val="center"/>
        <w:rPr>
          <w:rFonts w:hint="eastAsia" w:ascii="宋体" w:hAnsi="宋体" w:cs="宋体"/>
          <w:sz w:val="32"/>
          <w:highlight w:val="none"/>
        </w:rPr>
      </w:pPr>
    </w:p>
    <w:p w14:paraId="6EDBEFBF">
      <w:pPr>
        <w:spacing w:line="500" w:lineRule="exact"/>
        <w:jc w:val="center"/>
        <w:rPr>
          <w:rFonts w:hint="eastAsia" w:ascii="宋体" w:hAnsi="宋体" w:cs="宋体"/>
          <w:sz w:val="32"/>
          <w:highlight w:val="none"/>
        </w:rPr>
      </w:pPr>
    </w:p>
    <w:p w14:paraId="75C6E41D">
      <w:pPr>
        <w:spacing w:line="500" w:lineRule="exact"/>
        <w:jc w:val="center"/>
        <w:rPr>
          <w:rFonts w:hint="eastAsia" w:ascii="宋体" w:hAnsi="宋体" w:cs="宋体"/>
          <w:sz w:val="32"/>
          <w:highlight w:val="none"/>
        </w:rPr>
      </w:pPr>
    </w:p>
    <w:p w14:paraId="42519BFB">
      <w:pPr>
        <w:spacing w:line="500" w:lineRule="exact"/>
        <w:jc w:val="center"/>
        <w:rPr>
          <w:rFonts w:hint="eastAsia" w:ascii="宋体" w:hAnsi="宋体" w:cs="宋体"/>
          <w:sz w:val="32"/>
          <w:highlight w:val="none"/>
        </w:rPr>
      </w:pPr>
    </w:p>
    <w:p w14:paraId="14DBAFE0">
      <w:pPr>
        <w:adjustRightInd w:val="0"/>
        <w:spacing w:before="120" w:after="120" w:line="500" w:lineRule="exact"/>
        <w:ind w:left="-2" w:right="120"/>
        <w:jc w:val="center"/>
        <w:textAlignment w:val="baseline"/>
        <w:rPr>
          <w:rFonts w:hint="eastAsia" w:ascii="宋体" w:hAnsi="宋体" w:eastAsia="宋体" w:cs="宋体"/>
          <w:b/>
          <w:spacing w:val="20"/>
          <w:sz w:val="36"/>
          <w:szCs w:val="36"/>
          <w:highlight w:val="none"/>
          <w:lang w:eastAsia="zh-CN"/>
        </w:rPr>
      </w:pPr>
      <w:r>
        <w:rPr>
          <w:rFonts w:hint="eastAsia" w:ascii="宋体" w:hAnsi="宋体" w:cs="宋体"/>
          <w:b/>
          <w:spacing w:val="20"/>
          <w:sz w:val="36"/>
          <w:szCs w:val="36"/>
          <w:highlight w:val="none"/>
          <w:lang w:eastAsia="zh-CN"/>
        </w:rPr>
        <w:t>启东市自来水厂有限公司</w:t>
      </w:r>
    </w:p>
    <w:p w14:paraId="09F11FD1">
      <w:pPr>
        <w:adjustRightInd w:val="0"/>
        <w:spacing w:before="120" w:after="120" w:line="500" w:lineRule="exact"/>
        <w:ind w:left="-2" w:right="120"/>
        <w:jc w:val="center"/>
        <w:textAlignment w:val="baseline"/>
        <w:rPr>
          <w:rFonts w:hint="eastAsia" w:ascii="宋体" w:hAnsi="宋体" w:cs="宋体"/>
          <w:b/>
          <w:bCs/>
          <w:kern w:val="0"/>
          <w:sz w:val="36"/>
          <w:szCs w:val="36"/>
          <w:highlight w:val="none"/>
        </w:rPr>
      </w:pPr>
      <w:r>
        <w:rPr>
          <w:rFonts w:hint="eastAsia" w:ascii="宋体" w:hAnsi="宋体" w:cs="宋体"/>
          <w:b/>
          <w:bCs/>
          <w:kern w:val="0"/>
          <w:sz w:val="36"/>
          <w:szCs w:val="36"/>
          <w:highlight w:val="none"/>
          <w:u w:val="single"/>
        </w:rPr>
        <w:t>202</w:t>
      </w:r>
      <w:r>
        <w:rPr>
          <w:rFonts w:hint="eastAsia" w:ascii="宋体" w:hAnsi="宋体" w:cs="宋体"/>
          <w:b/>
          <w:bCs/>
          <w:kern w:val="0"/>
          <w:sz w:val="36"/>
          <w:szCs w:val="36"/>
          <w:highlight w:val="none"/>
          <w:u w:val="single"/>
          <w:lang w:val="en-US" w:eastAsia="zh-CN"/>
        </w:rPr>
        <w:t>6</w:t>
      </w:r>
      <w:r>
        <w:rPr>
          <w:rFonts w:hint="eastAsia" w:ascii="宋体" w:hAnsi="宋体" w:cs="宋体"/>
          <w:b/>
          <w:bCs/>
          <w:kern w:val="0"/>
          <w:sz w:val="36"/>
          <w:szCs w:val="36"/>
          <w:highlight w:val="none"/>
        </w:rPr>
        <w:t>年</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u w:val="single"/>
          <w:lang w:val="en-US" w:eastAsia="zh-CN"/>
        </w:rPr>
        <w:t xml:space="preserve">02 </w:t>
      </w:r>
      <w:r>
        <w:rPr>
          <w:rFonts w:hint="eastAsia" w:ascii="宋体" w:hAnsi="宋体" w:cs="宋体"/>
          <w:b/>
          <w:bCs/>
          <w:kern w:val="0"/>
          <w:sz w:val="36"/>
          <w:szCs w:val="36"/>
          <w:highlight w:val="none"/>
        </w:rPr>
        <w:t>月</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u w:val="single"/>
          <w:lang w:val="en-US" w:eastAsia="zh-CN"/>
        </w:rPr>
        <w:t>27</w:t>
      </w:r>
      <w:r>
        <w:rPr>
          <w:rFonts w:hint="eastAsia" w:ascii="宋体" w:hAnsi="宋体" w:cs="宋体"/>
          <w:b/>
          <w:bCs/>
          <w:kern w:val="0"/>
          <w:sz w:val="36"/>
          <w:szCs w:val="36"/>
          <w:highlight w:val="none"/>
          <w:u w:val="single"/>
        </w:rPr>
        <w:t xml:space="preserve"> </w:t>
      </w:r>
      <w:r>
        <w:rPr>
          <w:rFonts w:hint="eastAsia" w:ascii="宋体" w:hAnsi="宋体" w:cs="宋体"/>
          <w:b/>
          <w:bCs/>
          <w:kern w:val="0"/>
          <w:sz w:val="36"/>
          <w:szCs w:val="36"/>
          <w:highlight w:val="none"/>
        </w:rPr>
        <w:t>日</w:t>
      </w:r>
    </w:p>
    <w:p w14:paraId="596C0A66">
      <w:pPr>
        <w:adjustRightInd w:val="0"/>
        <w:spacing w:before="120" w:after="120" w:line="500" w:lineRule="exact"/>
        <w:ind w:left="-2" w:right="120"/>
        <w:jc w:val="center"/>
        <w:textAlignment w:val="baseline"/>
        <w:rPr>
          <w:rFonts w:hint="eastAsia" w:ascii="宋体" w:hAnsi="宋体" w:cs="宋体"/>
          <w:b/>
          <w:bCs/>
          <w:kern w:val="0"/>
          <w:sz w:val="32"/>
          <w:highlight w:val="none"/>
        </w:rPr>
      </w:pPr>
    </w:p>
    <w:p w14:paraId="44F033C5">
      <w:pPr>
        <w:pStyle w:val="55"/>
        <w:rPr>
          <w:rFonts w:hint="eastAsia"/>
          <w:highlight w:val="none"/>
        </w:rPr>
      </w:pPr>
    </w:p>
    <w:p w14:paraId="2D4FD19C">
      <w:pPr>
        <w:adjustRightInd w:val="0"/>
        <w:snapToGrid w:val="0"/>
        <w:spacing w:line="500" w:lineRule="exact"/>
        <w:ind w:left="-158" w:leftChars="-75"/>
        <w:rPr>
          <w:rFonts w:hint="eastAsia" w:ascii="宋体" w:hAnsi="宋体" w:cs="宋体"/>
          <w:b/>
          <w:snapToGrid w:val="0"/>
          <w:sz w:val="26"/>
          <w:szCs w:val="28"/>
          <w:highlight w:val="none"/>
          <w:u w:val="single"/>
        </w:rPr>
      </w:pPr>
      <w:r>
        <w:rPr>
          <w:rFonts w:hint="eastAsia" w:ascii="宋体" w:hAnsi="宋体" w:cs="宋体"/>
          <w:b/>
          <w:snapToGrid w:val="0"/>
          <w:sz w:val="26"/>
          <w:szCs w:val="28"/>
          <w:highlight w:val="none"/>
          <w:u w:val="single"/>
        </w:rPr>
        <w:t xml:space="preserve">                                                                       </w:t>
      </w:r>
    </w:p>
    <w:p w14:paraId="607A4AAD">
      <w:pPr>
        <w:adjustRightInd w:val="0"/>
        <w:snapToGrid w:val="0"/>
        <w:ind w:left="-158" w:leftChars="-75"/>
        <w:rPr>
          <w:rFonts w:hint="eastAsia" w:ascii="宋体" w:hAnsi="宋体" w:cs="宋体"/>
          <w:b/>
          <w:bCs w:val="0"/>
          <w:snapToGrid w:val="0"/>
          <w:sz w:val="28"/>
          <w:szCs w:val="28"/>
          <w:highlight w:val="none"/>
        </w:rPr>
      </w:pPr>
      <w:r>
        <w:rPr>
          <w:rFonts w:hint="eastAsia" w:ascii="宋体" w:hAnsi="宋体" w:cs="宋体"/>
          <w:b/>
          <w:bCs w:val="0"/>
          <w:snapToGrid w:val="0"/>
          <w:sz w:val="28"/>
          <w:szCs w:val="28"/>
          <w:highlight w:val="none"/>
        </w:rPr>
        <w:t>地址：</w:t>
      </w:r>
      <w:r>
        <w:rPr>
          <w:rFonts w:hint="eastAsia" w:ascii="宋体" w:hAnsi="宋体" w:cs="宋体"/>
          <w:b/>
          <w:bCs w:val="0"/>
          <w:snapToGrid w:val="0"/>
          <w:sz w:val="28"/>
          <w:szCs w:val="28"/>
          <w:highlight w:val="none"/>
          <w:lang w:eastAsia="zh-CN"/>
        </w:rPr>
        <w:t>启东市汇龙镇金沙江路672号</w:t>
      </w:r>
      <w:r>
        <w:rPr>
          <w:rFonts w:hint="eastAsia" w:ascii="宋体" w:hAnsi="宋体" w:cs="宋体"/>
          <w:b/>
          <w:bCs w:val="0"/>
          <w:snapToGrid w:val="0"/>
          <w:sz w:val="28"/>
          <w:szCs w:val="28"/>
          <w:highlight w:val="none"/>
          <w:lang w:val="en-US" w:eastAsia="zh-CN"/>
        </w:rPr>
        <w:t xml:space="preserve">              </w:t>
      </w:r>
      <w:r>
        <w:rPr>
          <w:rFonts w:hint="eastAsia" w:ascii="宋体" w:hAnsi="宋体" w:cs="宋体"/>
          <w:b/>
          <w:bCs w:val="0"/>
          <w:snapToGrid w:val="0"/>
          <w:sz w:val="28"/>
          <w:szCs w:val="28"/>
          <w:highlight w:val="none"/>
        </w:rPr>
        <w:t xml:space="preserve">邮政编码：226200        </w:t>
      </w:r>
    </w:p>
    <w:p w14:paraId="54504E8D">
      <w:pPr>
        <w:adjustRightInd w:val="0"/>
        <w:snapToGrid w:val="0"/>
        <w:ind w:left="-158" w:leftChars="-75"/>
        <w:rPr>
          <w:rFonts w:ascii="宋体" w:hAnsi="宋体" w:cs="宋体"/>
          <w:b/>
          <w:bCs w:val="0"/>
          <w:sz w:val="28"/>
          <w:szCs w:val="28"/>
          <w:highlight w:val="none"/>
        </w:rPr>
      </w:pPr>
      <w:r>
        <w:rPr>
          <w:rFonts w:hint="eastAsia" w:ascii="宋体" w:hAnsi="宋体" w:cs="宋体"/>
          <w:b/>
          <w:bCs w:val="0"/>
          <w:snapToGrid w:val="0"/>
          <w:sz w:val="28"/>
          <w:szCs w:val="28"/>
          <w:highlight w:val="none"/>
          <w:lang w:val="en-US" w:eastAsia="zh-CN"/>
        </w:rPr>
        <w:t>启东市自来水厂有限公司网</w:t>
      </w:r>
      <w:r>
        <w:rPr>
          <w:rFonts w:hint="eastAsia" w:ascii="宋体" w:hAnsi="宋体" w:cs="宋体"/>
          <w:b/>
          <w:bCs w:val="0"/>
          <w:snapToGrid w:val="0"/>
          <w:sz w:val="28"/>
          <w:szCs w:val="28"/>
          <w:highlight w:val="none"/>
        </w:rPr>
        <w:t xml:space="preserve"> </w:t>
      </w:r>
    </w:p>
    <w:p w14:paraId="027D3567">
      <w:pPr>
        <w:autoSpaceDE w:val="0"/>
        <w:autoSpaceDN w:val="0"/>
        <w:adjustRightInd w:val="0"/>
        <w:snapToGrid w:val="0"/>
        <w:spacing w:line="360" w:lineRule="auto"/>
        <w:jc w:val="center"/>
        <w:outlineLvl w:val="0"/>
        <w:rPr>
          <w:rFonts w:hint="eastAsia" w:ascii="宋体" w:hAnsi="宋体" w:cs="宋体"/>
          <w:sz w:val="44"/>
          <w:szCs w:val="44"/>
          <w:highlight w:val="none"/>
          <w:lang w:val="zh-CN"/>
        </w:rPr>
      </w:pPr>
      <w:r>
        <w:rPr>
          <w:rFonts w:hint="eastAsia" w:ascii="宋体" w:hAnsi="宋体" w:cs="宋体"/>
          <w:sz w:val="44"/>
          <w:szCs w:val="44"/>
          <w:highlight w:val="none"/>
          <w:lang w:val="zh-CN"/>
        </w:rPr>
        <w:br w:type="page"/>
      </w:r>
      <w:r>
        <w:rPr>
          <w:rFonts w:hint="eastAsia" w:ascii="宋体" w:hAnsi="宋体" w:cs="宋体"/>
          <w:sz w:val="44"/>
          <w:szCs w:val="44"/>
          <w:highlight w:val="none"/>
          <w:lang w:val="zh-CN"/>
        </w:rPr>
        <w:t>目 录</w:t>
      </w:r>
    </w:p>
    <w:p w14:paraId="4AE15799">
      <w:pPr>
        <w:autoSpaceDE w:val="0"/>
        <w:autoSpaceDN w:val="0"/>
        <w:adjustRightInd w:val="0"/>
        <w:snapToGrid w:val="0"/>
        <w:spacing w:line="360" w:lineRule="auto"/>
        <w:ind w:firstLine="556"/>
        <w:rPr>
          <w:rFonts w:hint="eastAsia" w:ascii="宋体" w:hAnsi="宋体" w:cs="宋体"/>
          <w:sz w:val="32"/>
          <w:szCs w:val="32"/>
          <w:highlight w:val="none"/>
        </w:rPr>
      </w:pPr>
    </w:p>
    <w:p w14:paraId="1B6643AF">
      <w:pPr>
        <w:autoSpaceDE w:val="0"/>
        <w:autoSpaceDN w:val="0"/>
        <w:adjustRightInd w:val="0"/>
        <w:snapToGrid w:val="0"/>
        <w:spacing w:line="360" w:lineRule="auto"/>
        <w:ind w:firstLine="556"/>
        <w:rPr>
          <w:rFonts w:hint="eastAsia" w:ascii="宋体" w:hAnsi="宋体" w:cs="宋体"/>
          <w:sz w:val="32"/>
          <w:szCs w:val="32"/>
          <w:highlight w:val="none"/>
        </w:rPr>
      </w:pPr>
    </w:p>
    <w:p w14:paraId="17E7BF08">
      <w:pPr>
        <w:autoSpaceDE w:val="0"/>
        <w:autoSpaceDN w:val="0"/>
        <w:adjustRightInd w:val="0"/>
        <w:snapToGrid w:val="0"/>
        <w:spacing w:line="480" w:lineRule="auto"/>
        <w:ind w:firstLine="556"/>
        <w:rPr>
          <w:rFonts w:hint="eastAsia" w:ascii="宋体" w:hAnsi="宋体" w:cs="宋体"/>
          <w:sz w:val="32"/>
          <w:szCs w:val="32"/>
          <w:highlight w:val="none"/>
        </w:rPr>
      </w:pPr>
      <w:r>
        <w:rPr>
          <w:rFonts w:hint="eastAsia" w:ascii="宋体" w:hAnsi="宋体" w:cs="宋体"/>
          <w:sz w:val="32"/>
          <w:szCs w:val="32"/>
          <w:highlight w:val="none"/>
        </w:rPr>
        <w:t>第一部分  竞争性谈判公告</w:t>
      </w:r>
    </w:p>
    <w:p w14:paraId="22BEC700">
      <w:pPr>
        <w:autoSpaceDE w:val="0"/>
        <w:autoSpaceDN w:val="0"/>
        <w:adjustRightInd w:val="0"/>
        <w:snapToGrid w:val="0"/>
        <w:spacing w:line="480" w:lineRule="auto"/>
        <w:ind w:firstLine="556"/>
        <w:rPr>
          <w:rFonts w:hint="eastAsia" w:ascii="宋体" w:hAnsi="宋体" w:cs="宋体"/>
          <w:sz w:val="32"/>
          <w:szCs w:val="32"/>
          <w:highlight w:val="none"/>
        </w:rPr>
      </w:pPr>
      <w:r>
        <w:rPr>
          <w:rFonts w:hint="eastAsia" w:ascii="宋体" w:hAnsi="宋体" w:cs="宋体"/>
          <w:sz w:val="32"/>
          <w:szCs w:val="32"/>
          <w:highlight w:val="none"/>
        </w:rPr>
        <w:t>第二部分  谈判须知</w:t>
      </w:r>
    </w:p>
    <w:p w14:paraId="336BB36D">
      <w:pPr>
        <w:autoSpaceDE w:val="0"/>
        <w:autoSpaceDN w:val="0"/>
        <w:adjustRightInd w:val="0"/>
        <w:snapToGrid w:val="0"/>
        <w:spacing w:line="480" w:lineRule="auto"/>
        <w:ind w:firstLine="537"/>
        <w:rPr>
          <w:rFonts w:hint="eastAsia" w:ascii="宋体" w:hAnsi="宋体" w:cs="宋体"/>
          <w:sz w:val="32"/>
          <w:szCs w:val="32"/>
          <w:highlight w:val="none"/>
        </w:rPr>
      </w:pPr>
      <w:r>
        <w:rPr>
          <w:rFonts w:hint="eastAsia" w:ascii="宋体" w:hAnsi="宋体" w:cs="宋体"/>
          <w:sz w:val="32"/>
          <w:szCs w:val="32"/>
          <w:highlight w:val="none"/>
        </w:rPr>
        <w:t>第三部分  项目需求</w:t>
      </w:r>
    </w:p>
    <w:p w14:paraId="57305CB4">
      <w:pPr>
        <w:autoSpaceDE w:val="0"/>
        <w:autoSpaceDN w:val="0"/>
        <w:adjustRightInd w:val="0"/>
        <w:snapToGrid w:val="0"/>
        <w:spacing w:line="480" w:lineRule="auto"/>
        <w:ind w:firstLine="537"/>
        <w:rPr>
          <w:rFonts w:hint="eastAsia" w:ascii="宋体" w:hAnsi="宋体" w:cs="宋体"/>
          <w:sz w:val="32"/>
          <w:szCs w:val="32"/>
          <w:highlight w:val="none"/>
        </w:rPr>
      </w:pPr>
      <w:r>
        <w:rPr>
          <w:rFonts w:hint="eastAsia" w:ascii="宋体" w:hAnsi="宋体" w:cs="宋体"/>
          <w:sz w:val="32"/>
          <w:szCs w:val="32"/>
          <w:highlight w:val="none"/>
        </w:rPr>
        <w:t>第四部分  评审方法和评审标准</w:t>
      </w:r>
    </w:p>
    <w:p w14:paraId="4D97F7A1">
      <w:pPr>
        <w:autoSpaceDE w:val="0"/>
        <w:autoSpaceDN w:val="0"/>
        <w:adjustRightInd w:val="0"/>
        <w:snapToGrid w:val="0"/>
        <w:spacing w:line="480" w:lineRule="auto"/>
        <w:ind w:firstLine="556"/>
        <w:rPr>
          <w:rFonts w:hint="eastAsia" w:ascii="宋体" w:hAnsi="宋体" w:cs="宋体"/>
          <w:sz w:val="32"/>
          <w:szCs w:val="32"/>
          <w:highlight w:val="none"/>
        </w:rPr>
      </w:pPr>
      <w:r>
        <w:rPr>
          <w:rFonts w:hint="eastAsia" w:ascii="宋体" w:hAnsi="宋体" w:cs="宋体"/>
          <w:sz w:val="32"/>
          <w:szCs w:val="32"/>
          <w:highlight w:val="none"/>
        </w:rPr>
        <w:t>第五部分  响应文件组成</w:t>
      </w:r>
    </w:p>
    <w:p w14:paraId="0C12E906">
      <w:pPr>
        <w:autoSpaceDE w:val="0"/>
        <w:autoSpaceDN w:val="0"/>
        <w:adjustRightInd w:val="0"/>
        <w:snapToGrid w:val="0"/>
        <w:spacing w:line="360" w:lineRule="auto"/>
        <w:ind w:firstLine="556"/>
        <w:rPr>
          <w:rFonts w:hint="eastAsia" w:ascii="宋体" w:hAnsi="宋体" w:cs="宋体"/>
          <w:sz w:val="32"/>
          <w:szCs w:val="32"/>
          <w:highlight w:val="none"/>
        </w:rPr>
      </w:pPr>
    </w:p>
    <w:p w14:paraId="16FEA55D">
      <w:pPr>
        <w:tabs>
          <w:tab w:val="left" w:pos="7740"/>
        </w:tabs>
        <w:spacing w:line="500" w:lineRule="exact"/>
        <w:rPr>
          <w:rFonts w:hint="eastAsia" w:ascii="宋体" w:hAnsi="宋体" w:cs="宋体"/>
          <w:bCs/>
          <w:sz w:val="32"/>
          <w:szCs w:val="32"/>
          <w:highlight w:val="none"/>
        </w:rPr>
      </w:pPr>
    </w:p>
    <w:p w14:paraId="5A915F65">
      <w:pPr>
        <w:tabs>
          <w:tab w:val="left" w:pos="7740"/>
        </w:tabs>
        <w:spacing w:line="500" w:lineRule="exact"/>
        <w:rPr>
          <w:rFonts w:hint="eastAsia" w:ascii="宋体" w:hAnsi="宋体" w:cs="宋体"/>
          <w:bCs/>
          <w:sz w:val="32"/>
          <w:szCs w:val="32"/>
          <w:highlight w:val="none"/>
        </w:rPr>
      </w:pPr>
    </w:p>
    <w:p w14:paraId="2CD8566C">
      <w:pPr>
        <w:autoSpaceDE w:val="0"/>
        <w:autoSpaceDN w:val="0"/>
        <w:adjustRightInd w:val="0"/>
        <w:spacing w:line="500" w:lineRule="exact"/>
        <w:jc w:val="center"/>
        <w:rPr>
          <w:rFonts w:hint="eastAsia" w:ascii="宋体" w:hAnsi="宋体" w:cs="宋体"/>
          <w:b/>
          <w:bCs/>
          <w:sz w:val="36"/>
          <w:szCs w:val="36"/>
          <w:highlight w:val="none"/>
          <w:lang w:val="zh-CN"/>
        </w:rPr>
      </w:pPr>
    </w:p>
    <w:p w14:paraId="7ACEA07C">
      <w:pPr>
        <w:autoSpaceDE w:val="0"/>
        <w:autoSpaceDN w:val="0"/>
        <w:adjustRightInd w:val="0"/>
        <w:spacing w:line="500" w:lineRule="exact"/>
        <w:rPr>
          <w:rFonts w:hint="eastAsia" w:ascii="宋体" w:hAnsi="宋体" w:cs="宋体"/>
          <w:b/>
          <w:bCs/>
          <w:sz w:val="36"/>
          <w:szCs w:val="36"/>
          <w:highlight w:val="none"/>
          <w:lang w:val="zh-CN"/>
        </w:rPr>
      </w:pPr>
    </w:p>
    <w:p w14:paraId="539A7894">
      <w:pPr>
        <w:autoSpaceDE w:val="0"/>
        <w:autoSpaceDN w:val="0"/>
        <w:adjustRightInd w:val="0"/>
        <w:spacing w:line="500" w:lineRule="exact"/>
        <w:jc w:val="center"/>
        <w:rPr>
          <w:rFonts w:hint="eastAsia" w:ascii="宋体" w:hAnsi="宋体" w:cs="宋体"/>
          <w:b/>
          <w:bCs/>
          <w:sz w:val="36"/>
          <w:szCs w:val="36"/>
          <w:highlight w:val="none"/>
          <w:lang w:val="zh-CN"/>
        </w:rPr>
      </w:pPr>
    </w:p>
    <w:p w14:paraId="42F158AC">
      <w:pPr>
        <w:autoSpaceDE w:val="0"/>
        <w:autoSpaceDN w:val="0"/>
        <w:adjustRightInd w:val="0"/>
        <w:spacing w:line="500" w:lineRule="exact"/>
        <w:jc w:val="center"/>
        <w:rPr>
          <w:rFonts w:hint="eastAsia" w:ascii="宋体" w:hAnsi="宋体" w:cs="宋体"/>
          <w:b/>
          <w:bCs/>
          <w:sz w:val="36"/>
          <w:szCs w:val="36"/>
          <w:highlight w:val="none"/>
          <w:lang w:val="zh-CN"/>
        </w:rPr>
      </w:pPr>
    </w:p>
    <w:p w14:paraId="0FEA55B1">
      <w:pPr>
        <w:autoSpaceDE w:val="0"/>
        <w:autoSpaceDN w:val="0"/>
        <w:adjustRightInd w:val="0"/>
        <w:spacing w:line="500" w:lineRule="exact"/>
        <w:jc w:val="center"/>
        <w:rPr>
          <w:rFonts w:hint="eastAsia" w:ascii="宋体" w:hAnsi="宋体" w:cs="宋体"/>
          <w:b/>
          <w:bCs/>
          <w:sz w:val="36"/>
          <w:szCs w:val="36"/>
          <w:highlight w:val="none"/>
          <w:lang w:val="zh-CN"/>
        </w:rPr>
      </w:pPr>
    </w:p>
    <w:p w14:paraId="1863E615">
      <w:pPr>
        <w:autoSpaceDE w:val="0"/>
        <w:autoSpaceDN w:val="0"/>
        <w:adjustRightInd w:val="0"/>
        <w:spacing w:line="500" w:lineRule="exact"/>
        <w:jc w:val="center"/>
        <w:rPr>
          <w:rFonts w:hint="eastAsia" w:ascii="宋体" w:hAnsi="宋体" w:cs="宋体"/>
          <w:b/>
          <w:bCs/>
          <w:sz w:val="36"/>
          <w:szCs w:val="36"/>
          <w:highlight w:val="none"/>
          <w:lang w:val="zh-CN"/>
        </w:rPr>
      </w:pPr>
    </w:p>
    <w:p w14:paraId="1A51D68A">
      <w:pPr>
        <w:autoSpaceDE w:val="0"/>
        <w:autoSpaceDN w:val="0"/>
        <w:adjustRightInd w:val="0"/>
        <w:spacing w:line="500" w:lineRule="exact"/>
        <w:jc w:val="center"/>
        <w:rPr>
          <w:rFonts w:hint="eastAsia" w:ascii="宋体" w:hAnsi="宋体" w:cs="宋体"/>
          <w:b/>
          <w:bCs/>
          <w:sz w:val="36"/>
          <w:szCs w:val="36"/>
          <w:highlight w:val="none"/>
          <w:lang w:val="zh-CN"/>
        </w:rPr>
      </w:pPr>
    </w:p>
    <w:p w14:paraId="798C3E37">
      <w:pPr>
        <w:autoSpaceDE w:val="0"/>
        <w:autoSpaceDN w:val="0"/>
        <w:adjustRightInd w:val="0"/>
        <w:spacing w:line="500" w:lineRule="exact"/>
        <w:jc w:val="center"/>
        <w:rPr>
          <w:rFonts w:hint="eastAsia" w:ascii="宋体" w:hAnsi="宋体" w:cs="宋体"/>
          <w:b/>
          <w:bCs/>
          <w:sz w:val="36"/>
          <w:szCs w:val="36"/>
          <w:highlight w:val="none"/>
          <w:lang w:val="zh-CN"/>
        </w:rPr>
      </w:pPr>
    </w:p>
    <w:p w14:paraId="10EDFCB3">
      <w:pPr>
        <w:autoSpaceDE w:val="0"/>
        <w:autoSpaceDN w:val="0"/>
        <w:adjustRightInd w:val="0"/>
        <w:spacing w:line="500" w:lineRule="exact"/>
        <w:jc w:val="center"/>
        <w:rPr>
          <w:rFonts w:hint="eastAsia" w:ascii="宋体" w:hAnsi="宋体" w:cs="宋体"/>
          <w:b/>
          <w:bCs/>
          <w:sz w:val="36"/>
          <w:szCs w:val="36"/>
          <w:highlight w:val="none"/>
          <w:lang w:val="zh-CN"/>
        </w:rPr>
      </w:pPr>
    </w:p>
    <w:p w14:paraId="449FDB46">
      <w:pPr>
        <w:autoSpaceDE w:val="0"/>
        <w:autoSpaceDN w:val="0"/>
        <w:adjustRightInd w:val="0"/>
        <w:spacing w:line="500" w:lineRule="exact"/>
        <w:jc w:val="center"/>
        <w:rPr>
          <w:rFonts w:hint="eastAsia" w:ascii="宋体" w:hAnsi="宋体" w:cs="宋体"/>
          <w:b/>
          <w:bCs/>
          <w:sz w:val="36"/>
          <w:szCs w:val="36"/>
          <w:highlight w:val="none"/>
          <w:lang w:val="zh-CN"/>
        </w:rPr>
      </w:pPr>
    </w:p>
    <w:p w14:paraId="779D85C3">
      <w:pPr>
        <w:autoSpaceDE w:val="0"/>
        <w:autoSpaceDN w:val="0"/>
        <w:adjustRightInd w:val="0"/>
        <w:spacing w:line="500" w:lineRule="exact"/>
        <w:jc w:val="center"/>
        <w:rPr>
          <w:rFonts w:hint="eastAsia" w:ascii="宋体" w:hAnsi="宋体" w:cs="宋体"/>
          <w:b/>
          <w:bCs/>
          <w:sz w:val="36"/>
          <w:szCs w:val="36"/>
          <w:highlight w:val="none"/>
          <w:lang w:val="zh-CN"/>
        </w:rPr>
      </w:pPr>
    </w:p>
    <w:p w14:paraId="5BDFF810">
      <w:pPr>
        <w:autoSpaceDE w:val="0"/>
        <w:autoSpaceDN w:val="0"/>
        <w:adjustRightInd w:val="0"/>
        <w:snapToGrid w:val="0"/>
        <w:spacing w:line="500" w:lineRule="exact"/>
        <w:jc w:val="center"/>
        <w:outlineLvl w:val="0"/>
        <w:rPr>
          <w:rFonts w:hint="eastAsia" w:ascii="宋体" w:hAnsi="宋体" w:cs="宋体"/>
          <w:sz w:val="36"/>
          <w:szCs w:val="36"/>
          <w:highlight w:val="none"/>
          <w:lang w:val="zh-CN"/>
        </w:rPr>
        <w:sectPr>
          <w:headerReference r:id="rId3" w:type="default"/>
          <w:footerReference r:id="rId5" w:type="default"/>
          <w:headerReference r:id="rId4" w:type="even"/>
          <w:footerReference r:id="rId6" w:type="even"/>
          <w:pgSz w:w="11907" w:h="16839"/>
          <w:pgMar w:top="1440" w:right="1417" w:bottom="1440" w:left="1417" w:header="720" w:footer="720" w:gutter="0"/>
          <w:cols w:space="720" w:num="1"/>
          <w:docGrid w:linePitch="286" w:charSpace="0"/>
        </w:sectPr>
      </w:pPr>
    </w:p>
    <w:p w14:paraId="28A27A26">
      <w:pPr>
        <w:autoSpaceDE w:val="0"/>
        <w:autoSpaceDN w:val="0"/>
        <w:adjustRightInd w:val="0"/>
        <w:snapToGrid w:val="0"/>
        <w:spacing w:line="500" w:lineRule="exact"/>
        <w:jc w:val="center"/>
        <w:outlineLvl w:val="0"/>
        <w:rPr>
          <w:rFonts w:hint="eastAsia" w:ascii="宋体" w:hAnsi="宋体" w:cs="宋体"/>
          <w:sz w:val="36"/>
          <w:szCs w:val="36"/>
          <w:highlight w:val="none"/>
        </w:rPr>
      </w:pPr>
      <w:r>
        <w:rPr>
          <w:rFonts w:hint="eastAsia" w:ascii="宋体" w:hAnsi="宋体" w:cs="宋体"/>
          <w:sz w:val="36"/>
          <w:szCs w:val="36"/>
          <w:highlight w:val="none"/>
          <w:lang w:val="zh-CN"/>
        </w:rPr>
        <w:t>第一部分  竞争性谈判公告</w:t>
      </w:r>
    </w:p>
    <w:p w14:paraId="07E68DE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受</w:t>
      </w:r>
      <w:r>
        <w:rPr>
          <w:rFonts w:hint="eastAsia" w:ascii="宋体" w:hAnsi="宋体" w:cs="宋体"/>
          <w:sz w:val="28"/>
          <w:szCs w:val="28"/>
          <w:highlight w:val="none"/>
          <w:lang w:eastAsia="zh-CN"/>
        </w:rPr>
        <w:t>启东市自来水厂有限公司</w:t>
      </w:r>
      <w:r>
        <w:rPr>
          <w:rFonts w:hint="eastAsia" w:ascii="宋体" w:hAnsi="宋体" w:cs="宋体"/>
          <w:sz w:val="28"/>
          <w:szCs w:val="28"/>
          <w:highlight w:val="none"/>
        </w:rPr>
        <w:t>的委托，就</w:t>
      </w:r>
      <w:r>
        <w:rPr>
          <w:rFonts w:hint="eastAsia" w:ascii="宋体" w:hAnsi="宋体" w:cs="宋体"/>
          <w:sz w:val="28"/>
          <w:szCs w:val="28"/>
          <w:highlight w:val="none"/>
          <w:lang w:eastAsia="zh-CN"/>
        </w:rPr>
        <w:t>启东市自来水厂有限公司2026年度设备运输、材料搬运使用随车吊、吊车服务年度采购项目</w:t>
      </w:r>
      <w:r>
        <w:rPr>
          <w:rFonts w:hint="eastAsia" w:ascii="宋体" w:hAnsi="宋体" w:cs="宋体"/>
          <w:sz w:val="28"/>
          <w:szCs w:val="28"/>
          <w:highlight w:val="none"/>
        </w:rPr>
        <w:t>进行竞争性谈判采购，欢迎符合条件的供应商参加谈判。</w:t>
      </w:r>
    </w:p>
    <w:p w14:paraId="5AA0B84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highlight w:val="none"/>
        </w:rPr>
      </w:pPr>
      <w:r>
        <w:rPr>
          <w:rFonts w:hint="eastAsia" w:ascii="宋体" w:hAnsi="宋体" w:cs="宋体"/>
          <w:b/>
          <w:spacing w:val="7"/>
          <w:kern w:val="0"/>
          <w:sz w:val="28"/>
          <w:szCs w:val="28"/>
          <w:highlight w:val="none"/>
        </w:rPr>
        <w:t>项目概况</w:t>
      </w:r>
    </w:p>
    <w:p w14:paraId="7484E1FC">
      <w:pPr>
        <w:keepNext w:val="0"/>
        <w:keepLines w:val="0"/>
        <w:pageBreakBefore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项目概况</w:t>
      </w:r>
    </w:p>
    <w:p w14:paraId="6E400D59">
      <w:pPr>
        <w:keepNext w:val="0"/>
        <w:keepLines w:val="0"/>
        <w:pageBreakBefore w:val="0"/>
        <w:pBdr>
          <w:top w:val="single" w:color="auto" w:sz="4" w:space="1"/>
          <w:left w:val="single" w:color="auto" w:sz="4" w:space="1"/>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lang w:eastAsia="zh-CN"/>
        </w:rPr>
        <w:t>启东市自来水厂有限公司2026年度设备运输、材料搬运使用随车吊、吊车服务年度采购项目</w:t>
      </w:r>
      <w:r>
        <w:rPr>
          <w:rFonts w:hint="eastAsia" w:ascii="宋体" w:hAnsi="宋体" w:cs="宋体"/>
          <w:sz w:val="28"/>
          <w:szCs w:val="28"/>
          <w:highlight w:val="none"/>
        </w:rPr>
        <w:t>的潜在供应商应在</w:t>
      </w:r>
      <w:r>
        <w:rPr>
          <w:rFonts w:hint="eastAsia" w:ascii="宋体" w:hAnsi="宋体" w:cs="宋体"/>
          <w:sz w:val="28"/>
          <w:szCs w:val="28"/>
          <w:highlight w:val="none"/>
          <w:lang w:eastAsia="zh-CN"/>
        </w:rPr>
        <w:t>启东市自来水厂有限公司</w:t>
      </w:r>
      <w:r>
        <w:rPr>
          <w:rFonts w:hint="eastAsia" w:ascii="宋体" w:hAnsi="宋体" w:cs="宋体"/>
          <w:sz w:val="28"/>
          <w:szCs w:val="28"/>
          <w:highlight w:val="none"/>
        </w:rPr>
        <w:t>网获取采购文件，并于</w:t>
      </w:r>
      <w:r>
        <w:rPr>
          <w:rFonts w:hint="eastAsia" w:ascii="宋体" w:hAnsi="宋体" w:cs="宋体"/>
          <w:sz w:val="28"/>
          <w:szCs w:val="28"/>
          <w:highlight w:val="none"/>
          <w:lang w:val="en-US" w:eastAsia="zh-CN"/>
        </w:rPr>
        <w:t>2026</w:t>
      </w:r>
      <w:r>
        <w:rPr>
          <w:rFonts w:hint="eastAsia" w:ascii="宋体" w:hAnsi="宋体" w:cs="宋体"/>
          <w:sz w:val="28"/>
          <w:szCs w:val="28"/>
          <w:highlight w:val="none"/>
        </w:rPr>
        <w:t>年</w:t>
      </w:r>
      <w:r>
        <w:rPr>
          <w:rFonts w:hint="eastAsia" w:ascii="宋体" w:hAnsi="宋体" w:cs="宋体"/>
          <w:sz w:val="28"/>
          <w:szCs w:val="28"/>
          <w:highlight w:val="none"/>
          <w:lang w:val="en-US" w:eastAsia="zh-CN"/>
        </w:rPr>
        <w:t>03月04日14</w:t>
      </w:r>
      <w:r>
        <w:rPr>
          <w:rFonts w:hint="eastAsia" w:ascii="宋体" w:hAnsi="宋体" w:cs="宋体"/>
          <w:sz w:val="28"/>
          <w:szCs w:val="28"/>
          <w:highlight w:val="none"/>
        </w:rPr>
        <w:t>点</w:t>
      </w:r>
      <w:r>
        <w:rPr>
          <w:rFonts w:hint="eastAsia" w:ascii="宋体" w:hAnsi="宋体" w:cs="宋体"/>
          <w:sz w:val="28"/>
          <w:szCs w:val="28"/>
          <w:highlight w:val="none"/>
          <w:lang w:val="en-US" w:eastAsia="zh-CN"/>
        </w:rPr>
        <w:t>30</w:t>
      </w:r>
      <w:r>
        <w:rPr>
          <w:rFonts w:hint="eastAsia" w:ascii="宋体" w:hAnsi="宋体" w:cs="宋体"/>
          <w:sz w:val="28"/>
          <w:szCs w:val="28"/>
          <w:highlight w:val="none"/>
        </w:rPr>
        <w:t>分（北京时间）前提交响应文件。</w:t>
      </w:r>
    </w:p>
    <w:p w14:paraId="0D0B1CEC">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highlight w:val="none"/>
        </w:rPr>
      </w:pPr>
      <w:r>
        <w:rPr>
          <w:rFonts w:hint="eastAsia" w:ascii="宋体" w:hAnsi="宋体" w:cs="宋体"/>
          <w:b/>
          <w:spacing w:val="7"/>
          <w:kern w:val="0"/>
          <w:sz w:val="28"/>
          <w:szCs w:val="28"/>
          <w:highlight w:val="none"/>
        </w:rPr>
        <w:t>一、项目基本情况</w:t>
      </w:r>
    </w:p>
    <w:p w14:paraId="15F72EA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项目名称：</w:t>
      </w:r>
      <w:r>
        <w:rPr>
          <w:rFonts w:hint="eastAsia" w:ascii="宋体" w:hAnsi="宋体" w:cs="宋体"/>
          <w:sz w:val="28"/>
          <w:szCs w:val="28"/>
          <w:highlight w:val="none"/>
          <w:lang w:eastAsia="zh-CN"/>
        </w:rPr>
        <w:t>启东市自来水厂有限公司2026年度设备运输、材料搬运使用随车吊、吊车服务年度采购项目</w:t>
      </w:r>
    </w:p>
    <w:p w14:paraId="2856A2E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项目类型：服务</w:t>
      </w:r>
    </w:p>
    <w:p w14:paraId="16B0A6B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rPr>
        <w:t>所属行业：</w:t>
      </w:r>
      <w:r>
        <w:rPr>
          <w:rFonts w:hint="eastAsia" w:ascii="宋体" w:hAnsi="宋体" w:cs="宋体"/>
          <w:sz w:val="28"/>
          <w:szCs w:val="28"/>
          <w:highlight w:val="none"/>
          <w:lang w:val="en-US" w:eastAsia="zh-CN"/>
        </w:rPr>
        <w:t>其他未列明行业</w:t>
      </w:r>
    </w:p>
    <w:p w14:paraId="461279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预算金额：</w:t>
      </w:r>
      <w:r>
        <w:rPr>
          <w:rFonts w:hint="eastAsia" w:ascii="宋体" w:hAnsi="宋体" w:cs="宋体"/>
          <w:sz w:val="28"/>
          <w:szCs w:val="28"/>
          <w:highlight w:val="none"/>
          <w:lang w:val="en-US" w:eastAsia="zh-CN"/>
        </w:rPr>
        <w:t>8</w:t>
      </w:r>
      <w:r>
        <w:rPr>
          <w:rFonts w:hint="eastAsia" w:ascii="宋体" w:hAnsi="宋体" w:cs="宋体"/>
          <w:sz w:val="28"/>
          <w:szCs w:val="28"/>
          <w:highlight w:val="none"/>
        </w:rPr>
        <w:t>万元</w:t>
      </w:r>
    </w:p>
    <w:p w14:paraId="7F15C72D">
      <w:pPr>
        <w:pStyle w:val="2"/>
        <w:spacing w:after="0" w:line="5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最高限价：分项综合单价最高限价详见</w:t>
      </w:r>
      <w:r>
        <w:rPr>
          <w:rFonts w:hint="eastAsia" w:ascii="宋体" w:hAnsi="宋体" w:cs="宋体"/>
          <w:sz w:val="28"/>
          <w:szCs w:val="28"/>
          <w:highlight w:val="none"/>
          <w:lang w:val="en-US" w:eastAsia="zh-CN"/>
        </w:rPr>
        <w:t>谈判</w:t>
      </w:r>
      <w:r>
        <w:rPr>
          <w:rFonts w:hint="eastAsia" w:ascii="宋体" w:hAnsi="宋体" w:cs="宋体"/>
          <w:sz w:val="28"/>
          <w:szCs w:val="28"/>
          <w:highlight w:val="none"/>
        </w:rPr>
        <w:t>文件第三部分《采购清单》，投标单价大于分项综合单价最高限价的均为无效报价</w:t>
      </w:r>
      <w:r>
        <w:rPr>
          <w:rFonts w:hint="eastAsia" w:ascii="宋体" w:hAnsi="宋体" w:cs="宋体"/>
          <w:sz w:val="28"/>
          <w:szCs w:val="28"/>
          <w:highlight w:val="none"/>
          <w:lang w:eastAsia="zh-CN"/>
        </w:rPr>
        <w:t>。</w:t>
      </w:r>
    </w:p>
    <w:p w14:paraId="18BF322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采购需求：详见谈判文件，请仔细研究。</w:t>
      </w:r>
    </w:p>
    <w:p w14:paraId="4F07FC6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合同履行期限：详见第三部分《项目需求》</w:t>
      </w:r>
      <w:r>
        <w:rPr>
          <w:rFonts w:hint="eastAsia" w:ascii="宋体" w:hAnsi="宋体" w:cs="宋体"/>
          <w:sz w:val="28"/>
          <w:szCs w:val="28"/>
          <w:highlight w:val="none"/>
          <w:lang w:val="zh-CN"/>
        </w:rPr>
        <w:t>。</w:t>
      </w:r>
    </w:p>
    <w:p w14:paraId="6590433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本项目不接受联合体投标。</w:t>
      </w:r>
    </w:p>
    <w:p w14:paraId="4CBC586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本项目不接受分包。</w:t>
      </w:r>
    </w:p>
    <w:p w14:paraId="0A422CCC">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二、供应商的资格要求：</w:t>
      </w:r>
    </w:p>
    <w:p w14:paraId="23FB6F6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1.满足《中华人民共和国政府采购法》第二十二条规定；</w:t>
      </w:r>
    </w:p>
    <w:p w14:paraId="6E48D5A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2.落实政府采购政策需满足的资格要求：</w:t>
      </w:r>
      <w:r>
        <w:rPr>
          <w:rFonts w:hint="eastAsia" w:ascii="宋体" w:hAnsi="宋体" w:cs="宋体"/>
          <w:sz w:val="28"/>
          <w:szCs w:val="28"/>
          <w:highlight w:val="none"/>
          <w:lang w:val="en-US" w:eastAsia="zh-CN"/>
        </w:rPr>
        <w:t>无</w:t>
      </w:r>
      <w:r>
        <w:rPr>
          <w:rFonts w:hint="eastAsia" w:ascii="宋体" w:hAnsi="宋体" w:cs="宋体"/>
          <w:sz w:val="28"/>
          <w:szCs w:val="28"/>
          <w:highlight w:val="none"/>
        </w:rPr>
        <w:t>。</w:t>
      </w:r>
    </w:p>
    <w:p w14:paraId="7A9224E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3.本项目特定资格要求：</w:t>
      </w:r>
    </w:p>
    <w:p w14:paraId="3501620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（1）投标人具备有效的营业执照；</w:t>
      </w:r>
    </w:p>
    <w:p w14:paraId="43C55E6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提供①随车吊、吊车照片及其驾驶员驾驶证（随车吊：B2及以上；吊车：A2及以上）、上岗证、操作证；②随车吊、吊车行驶证（随车吊、吊车非本人的，则需要提供租赁合同）且车辆保险手续完备（提供保单）；</w:t>
      </w:r>
    </w:p>
    <w:p w14:paraId="5542913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（3）未被“信用中国”网站列入失信被执行人、重大税收违法案件当事人名单、政府采购严重违法失信行为记录名单(提供网页截图)。</w:t>
      </w:r>
    </w:p>
    <w:p w14:paraId="47F910F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4、本次招标不接受联合体投标。</w:t>
      </w:r>
    </w:p>
    <w:p w14:paraId="5425F2E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三、获取采购文件</w:t>
      </w:r>
    </w:p>
    <w:p w14:paraId="74FD5665">
      <w:pPr>
        <w:keepNext w:val="0"/>
        <w:keepLines w:val="0"/>
        <w:pageBreakBefore w:val="0"/>
        <w:widowControl/>
        <w:shd w:val="clear" w:color="auto" w:fill="FFFFFF"/>
        <w:kinsoku/>
        <w:wordWrap/>
        <w:overflowPunct/>
        <w:topLinePunct w:val="0"/>
        <w:autoSpaceDE/>
        <w:autoSpaceDN/>
        <w:bidi w:val="0"/>
        <w:spacing w:line="500" w:lineRule="exact"/>
        <w:ind w:firstLine="588" w:firstLineChars="200"/>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时间：自本公告发布之日起至</w:t>
      </w:r>
      <w:r>
        <w:rPr>
          <w:rFonts w:hint="eastAsia" w:ascii="宋体" w:hAnsi="宋体" w:cs="宋体"/>
          <w:spacing w:val="7"/>
          <w:kern w:val="0"/>
          <w:sz w:val="28"/>
          <w:szCs w:val="28"/>
          <w:highlight w:val="none"/>
          <w:lang w:val="en-US" w:eastAsia="zh-CN"/>
        </w:rPr>
        <w:t>2026</w:t>
      </w:r>
      <w:r>
        <w:rPr>
          <w:rFonts w:hint="eastAsia" w:ascii="宋体" w:hAnsi="宋体" w:cs="宋体"/>
          <w:spacing w:val="7"/>
          <w:kern w:val="0"/>
          <w:sz w:val="28"/>
          <w:szCs w:val="28"/>
          <w:highlight w:val="none"/>
        </w:rPr>
        <w:t>年</w:t>
      </w:r>
      <w:r>
        <w:rPr>
          <w:rFonts w:hint="eastAsia" w:ascii="宋体" w:hAnsi="宋体" w:cs="宋体"/>
          <w:sz w:val="28"/>
          <w:szCs w:val="28"/>
          <w:highlight w:val="none"/>
          <w:lang w:val="en-US" w:eastAsia="zh-CN"/>
        </w:rPr>
        <w:t>03月04日</w:t>
      </w:r>
      <w:r>
        <w:rPr>
          <w:rFonts w:hint="eastAsia" w:ascii="宋体" w:hAnsi="宋体" w:cs="宋体"/>
          <w:spacing w:val="7"/>
          <w:kern w:val="0"/>
          <w:sz w:val="28"/>
          <w:szCs w:val="28"/>
          <w:highlight w:val="none"/>
        </w:rPr>
        <w:t>。</w:t>
      </w:r>
    </w:p>
    <w:p w14:paraId="4D898A19">
      <w:pPr>
        <w:keepNext w:val="0"/>
        <w:keepLines w:val="0"/>
        <w:pageBreakBefore w:val="0"/>
        <w:kinsoku/>
        <w:wordWrap/>
        <w:overflowPunct/>
        <w:topLinePunct w:val="0"/>
        <w:autoSpaceDE/>
        <w:autoSpaceDN/>
        <w:bidi w:val="0"/>
        <w:spacing w:line="500" w:lineRule="exact"/>
        <w:ind w:firstLine="588" w:firstLineChars="200"/>
        <w:jc w:val="left"/>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获取的地点、方式：供应商登录“</w:t>
      </w:r>
      <w:r>
        <w:rPr>
          <w:rFonts w:hint="eastAsia" w:ascii="宋体" w:hAnsi="宋体" w:cs="宋体"/>
          <w:sz w:val="28"/>
          <w:szCs w:val="28"/>
          <w:highlight w:val="none"/>
          <w:lang w:eastAsia="zh-CN"/>
        </w:rPr>
        <w:t>启东市自来水厂有限公司</w:t>
      </w:r>
      <w:r>
        <w:rPr>
          <w:rFonts w:hint="eastAsia" w:ascii="宋体" w:hAnsi="宋体" w:cs="宋体"/>
          <w:spacing w:val="7"/>
          <w:kern w:val="0"/>
          <w:sz w:val="28"/>
          <w:szCs w:val="28"/>
          <w:highlight w:val="none"/>
        </w:rPr>
        <w:t>”</w:t>
      </w:r>
      <w:r>
        <w:rPr>
          <w:rFonts w:hint="eastAsia" w:ascii="宋体" w:hAnsi="宋体" w:cs="宋体"/>
          <w:sz w:val="28"/>
          <w:szCs w:val="28"/>
          <w:highlight w:val="none"/>
        </w:rPr>
        <w:t>网自行</w:t>
      </w:r>
      <w:r>
        <w:rPr>
          <w:rFonts w:hint="eastAsia" w:ascii="宋体" w:hAnsi="宋体" w:cs="宋体"/>
          <w:spacing w:val="7"/>
          <w:kern w:val="0"/>
          <w:sz w:val="28"/>
          <w:szCs w:val="28"/>
          <w:highlight w:val="none"/>
        </w:rPr>
        <w:t>下载。</w:t>
      </w:r>
    </w:p>
    <w:p w14:paraId="58D4BDB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四、提交响应文件截止时间、开标时间和地点</w:t>
      </w:r>
    </w:p>
    <w:p w14:paraId="7DC52DE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投标截止时间及开标（磋商）时间：202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03</w:t>
      </w:r>
      <w:r>
        <w:rPr>
          <w:rFonts w:hint="eastAsia" w:ascii="宋体" w:hAnsi="宋体" w:cs="宋体"/>
          <w:sz w:val="28"/>
          <w:szCs w:val="28"/>
          <w:highlight w:val="none"/>
        </w:rPr>
        <w:t>月</w:t>
      </w:r>
      <w:r>
        <w:rPr>
          <w:rFonts w:hint="eastAsia" w:ascii="宋体" w:hAnsi="宋体" w:cs="宋体"/>
          <w:sz w:val="28"/>
          <w:szCs w:val="28"/>
          <w:highlight w:val="none"/>
          <w:lang w:val="en-US" w:eastAsia="zh-CN"/>
        </w:rPr>
        <w:t>04</w:t>
      </w:r>
      <w:r>
        <w:rPr>
          <w:rFonts w:hint="eastAsia" w:ascii="宋体" w:hAnsi="宋体" w:cs="宋体"/>
          <w:sz w:val="28"/>
          <w:szCs w:val="28"/>
          <w:highlight w:val="none"/>
        </w:rPr>
        <w:t>日</w:t>
      </w:r>
      <w:r>
        <w:rPr>
          <w:rFonts w:hint="eastAsia" w:ascii="宋体" w:hAnsi="宋体" w:cs="宋体"/>
          <w:sz w:val="28"/>
          <w:szCs w:val="28"/>
          <w:highlight w:val="none"/>
          <w:lang w:val="en-US" w:eastAsia="zh-CN"/>
        </w:rPr>
        <w:t>下</w:t>
      </w:r>
      <w:r>
        <w:rPr>
          <w:rFonts w:hint="eastAsia" w:ascii="宋体" w:hAnsi="宋体" w:cs="宋体"/>
          <w:sz w:val="28"/>
          <w:szCs w:val="28"/>
          <w:highlight w:val="none"/>
        </w:rPr>
        <w:t>午</w:t>
      </w:r>
      <w:r>
        <w:rPr>
          <w:rFonts w:hint="eastAsia" w:ascii="宋体" w:hAnsi="宋体" w:cs="宋体"/>
          <w:sz w:val="28"/>
          <w:szCs w:val="28"/>
          <w:highlight w:val="none"/>
          <w:lang w:val="en-US" w:eastAsia="zh-CN"/>
        </w:rPr>
        <w:t>14</w:t>
      </w:r>
      <w:r>
        <w:rPr>
          <w:rFonts w:hint="eastAsia" w:ascii="宋体" w:hAnsi="宋体" w:cs="宋体"/>
          <w:sz w:val="28"/>
          <w:szCs w:val="28"/>
          <w:highlight w:val="none"/>
        </w:rPr>
        <w:t>:</w:t>
      </w:r>
      <w:r>
        <w:rPr>
          <w:rFonts w:hint="eastAsia" w:ascii="宋体" w:hAnsi="宋体" w:cs="宋体"/>
          <w:sz w:val="28"/>
          <w:szCs w:val="28"/>
          <w:highlight w:val="none"/>
          <w:lang w:val="en-US" w:eastAsia="zh-CN"/>
        </w:rPr>
        <w:t>3</w:t>
      </w:r>
      <w:r>
        <w:rPr>
          <w:rFonts w:hint="eastAsia" w:ascii="宋体" w:hAnsi="宋体" w:cs="宋体"/>
          <w:sz w:val="28"/>
          <w:szCs w:val="28"/>
          <w:highlight w:val="none"/>
        </w:rPr>
        <w:t>0（北京时间），逾时则不予受理。</w:t>
      </w:r>
    </w:p>
    <w:p w14:paraId="713C2B0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rPr>
        <w:t>开标（磋商）地点：启东城投集团有限公司(启东市汇龙镇金沙江路672号)二楼开标室（只接受直接送达），逾时则不予受理</w:t>
      </w:r>
      <w:r>
        <w:rPr>
          <w:rFonts w:hint="eastAsia" w:ascii="宋体" w:hAnsi="宋体" w:cs="宋体"/>
          <w:sz w:val="28"/>
          <w:szCs w:val="28"/>
          <w:highlight w:val="none"/>
          <w:lang w:val="en-US" w:eastAsia="zh-CN"/>
        </w:rPr>
        <w:t>。</w:t>
      </w:r>
    </w:p>
    <w:p w14:paraId="4C5B0120">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五、公告期限</w:t>
      </w:r>
    </w:p>
    <w:p w14:paraId="7858B50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自本公告发布之日起3个工作日。</w:t>
      </w:r>
    </w:p>
    <w:p w14:paraId="35E1BC02">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sz w:val="28"/>
          <w:szCs w:val="28"/>
          <w:highlight w:val="none"/>
        </w:rPr>
      </w:pPr>
      <w:r>
        <w:rPr>
          <w:rFonts w:hint="eastAsia" w:ascii="宋体" w:hAnsi="宋体" w:cs="宋体"/>
          <w:b/>
          <w:sz w:val="28"/>
          <w:szCs w:val="28"/>
          <w:highlight w:val="none"/>
        </w:rPr>
        <w:t>六、其他补充事宜</w:t>
      </w:r>
    </w:p>
    <w:p w14:paraId="6A35DFE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1、投标保证金：免收</w:t>
      </w:r>
      <w:r>
        <w:rPr>
          <w:rFonts w:hint="eastAsia" w:ascii="宋体" w:hAnsi="宋体" w:cs="宋体"/>
          <w:sz w:val="28"/>
          <w:szCs w:val="28"/>
          <w:highlight w:val="none"/>
          <w:lang w:eastAsia="zh-CN"/>
        </w:rPr>
        <w:t>。</w:t>
      </w:r>
    </w:p>
    <w:p w14:paraId="4BCB1C2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2、项目谈判活动模式：</w:t>
      </w:r>
      <w:r>
        <w:rPr>
          <w:rFonts w:hint="eastAsia" w:ascii="宋体" w:hAnsi="宋体" w:cs="宋体"/>
          <w:sz w:val="28"/>
          <w:szCs w:val="28"/>
          <w:highlight w:val="none"/>
          <w:lang w:val="en-US" w:eastAsia="zh-CN"/>
        </w:rPr>
        <w:t>现场谈判模式</w:t>
      </w:r>
      <w:r>
        <w:rPr>
          <w:rFonts w:hint="eastAsia" w:ascii="宋体" w:hAnsi="宋体" w:cs="宋体"/>
          <w:sz w:val="28"/>
          <w:szCs w:val="28"/>
          <w:highlight w:val="none"/>
        </w:rPr>
        <w:t>。</w:t>
      </w:r>
    </w:p>
    <w:p w14:paraId="3D92421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cs="宋体"/>
          <w:sz w:val="28"/>
          <w:szCs w:val="28"/>
          <w:highlight w:val="none"/>
        </w:rPr>
        <w:t>3、项目演示、样品、答辩等：无</w:t>
      </w:r>
      <w:r>
        <w:rPr>
          <w:rFonts w:hint="eastAsia" w:ascii="宋体" w:hAnsi="宋体" w:cs="宋体"/>
          <w:sz w:val="28"/>
          <w:szCs w:val="28"/>
          <w:highlight w:val="none"/>
          <w:lang w:eastAsia="zh-CN"/>
        </w:rPr>
        <w:t>。</w:t>
      </w:r>
    </w:p>
    <w:p w14:paraId="1FBECE3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4、对项目需求部分（供应商资格要求、项目需求）的询问、质疑请向采购人提出，由采购人负责答复；对项目谈判文件其它部分的询问请向采购代理机构提出。</w:t>
      </w:r>
    </w:p>
    <w:p w14:paraId="0B4B0924">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590" w:firstLineChars="200"/>
        <w:textAlignment w:val="auto"/>
        <w:rPr>
          <w:rFonts w:hint="eastAsia" w:ascii="宋体" w:hAnsi="宋体" w:cs="宋体"/>
          <w:b/>
          <w:spacing w:val="7"/>
          <w:kern w:val="0"/>
          <w:sz w:val="28"/>
          <w:szCs w:val="28"/>
          <w:highlight w:val="none"/>
        </w:rPr>
      </w:pPr>
      <w:r>
        <w:rPr>
          <w:rFonts w:hint="eastAsia" w:ascii="宋体" w:hAnsi="宋体" w:cs="宋体"/>
          <w:b/>
          <w:spacing w:val="7"/>
          <w:kern w:val="0"/>
          <w:sz w:val="28"/>
          <w:szCs w:val="28"/>
          <w:highlight w:val="none"/>
        </w:rPr>
        <w:t>七、凡对本次采购提出询问，请按以下方式联系。</w:t>
      </w:r>
    </w:p>
    <w:p w14:paraId="3A488BBF">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1、采购人信息</w:t>
      </w:r>
    </w:p>
    <w:p w14:paraId="7A3D2606">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eastAsia="宋体" w:cs="宋体"/>
          <w:spacing w:val="7"/>
          <w:kern w:val="0"/>
          <w:sz w:val="28"/>
          <w:szCs w:val="28"/>
          <w:highlight w:val="none"/>
          <w:lang w:eastAsia="zh-CN"/>
        </w:rPr>
      </w:pPr>
      <w:r>
        <w:rPr>
          <w:rFonts w:ascii="宋体" w:hAnsi="宋体" w:cs="宋体"/>
          <w:spacing w:val="7"/>
          <w:kern w:val="0"/>
          <w:sz w:val="28"/>
          <w:szCs w:val="28"/>
          <w:highlight w:val="none"/>
        </w:rPr>
        <w:t>名  称：</w:t>
      </w:r>
      <w:r>
        <w:rPr>
          <w:rFonts w:hint="eastAsia" w:ascii="宋体" w:hAnsi="宋体" w:cs="宋体"/>
          <w:spacing w:val="7"/>
          <w:kern w:val="0"/>
          <w:sz w:val="28"/>
          <w:szCs w:val="28"/>
          <w:highlight w:val="none"/>
          <w:lang w:eastAsia="zh-CN"/>
        </w:rPr>
        <w:t>启东市自来水厂有限公司</w:t>
      </w:r>
    </w:p>
    <w:p w14:paraId="1F3811B2">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ascii="宋体" w:hAnsi="宋体" w:cs="宋体"/>
          <w:spacing w:val="7"/>
          <w:kern w:val="0"/>
          <w:sz w:val="28"/>
          <w:szCs w:val="28"/>
          <w:highlight w:val="none"/>
        </w:rPr>
      </w:pPr>
      <w:r>
        <w:rPr>
          <w:rFonts w:ascii="宋体" w:hAnsi="宋体" w:cs="宋体"/>
          <w:spacing w:val="7"/>
          <w:kern w:val="0"/>
          <w:sz w:val="28"/>
          <w:szCs w:val="28"/>
          <w:highlight w:val="none"/>
        </w:rPr>
        <w:t>地  址：</w:t>
      </w:r>
      <w:r>
        <w:rPr>
          <w:rFonts w:hint="eastAsia" w:ascii="宋体" w:hAnsi="宋体" w:cs="宋体"/>
          <w:spacing w:val="7"/>
          <w:kern w:val="0"/>
          <w:sz w:val="28"/>
          <w:szCs w:val="28"/>
          <w:highlight w:val="none"/>
          <w:lang w:eastAsia="zh-CN"/>
        </w:rPr>
        <w:t>启东市汇龙镇金沙江路672号</w:t>
      </w:r>
      <w:r>
        <w:rPr>
          <w:rFonts w:ascii="宋体" w:hAnsi="宋体" w:cs="宋体"/>
          <w:spacing w:val="7"/>
          <w:kern w:val="0"/>
          <w:sz w:val="28"/>
          <w:szCs w:val="28"/>
          <w:highlight w:val="none"/>
        </w:rPr>
        <w:t xml:space="preserve"> </w:t>
      </w:r>
    </w:p>
    <w:p w14:paraId="2D5F109A">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default" w:ascii="宋体" w:hAnsi="宋体" w:eastAsia="宋体" w:cs="宋体"/>
          <w:spacing w:val="7"/>
          <w:kern w:val="0"/>
          <w:sz w:val="28"/>
          <w:szCs w:val="28"/>
          <w:highlight w:val="none"/>
          <w:lang w:val="en-US" w:eastAsia="zh-CN"/>
        </w:rPr>
      </w:pPr>
      <w:r>
        <w:rPr>
          <w:rFonts w:ascii="宋体" w:hAnsi="宋体" w:cs="宋体"/>
          <w:spacing w:val="7"/>
          <w:kern w:val="0"/>
          <w:sz w:val="28"/>
          <w:szCs w:val="28"/>
          <w:highlight w:val="none"/>
        </w:rPr>
        <w:t>联系人：</w:t>
      </w:r>
      <w:r>
        <w:rPr>
          <w:rFonts w:hint="eastAsia" w:ascii="宋体" w:hAnsi="宋体" w:cs="宋体"/>
          <w:spacing w:val="7"/>
          <w:kern w:val="0"/>
          <w:sz w:val="28"/>
          <w:szCs w:val="28"/>
          <w:highlight w:val="none"/>
          <w:lang w:val="en-US" w:eastAsia="zh-CN"/>
        </w:rPr>
        <w:t>高明君</w:t>
      </w:r>
    </w:p>
    <w:p w14:paraId="6CA60A35">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default" w:ascii="宋体" w:hAnsi="宋体" w:eastAsia="宋体" w:cs="宋体"/>
          <w:spacing w:val="7"/>
          <w:kern w:val="0"/>
          <w:sz w:val="28"/>
          <w:szCs w:val="28"/>
          <w:highlight w:val="none"/>
          <w:lang w:val="en-US" w:eastAsia="zh-CN"/>
        </w:rPr>
      </w:pPr>
      <w:r>
        <w:rPr>
          <w:rFonts w:ascii="宋体" w:hAnsi="宋体" w:cs="宋体"/>
          <w:spacing w:val="7"/>
          <w:kern w:val="0"/>
          <w:sz w:val="28"/>
          <w:szCs w:val="28"/>
          <w:highlight w:val="none"/>
        </w:rPr>
        <w:t>电  话：</w:t>
      </w:r>
      <w:r>
        <w:rPr>
          <w:rFonts w:hint="eastAsia" w:ascii="宋体" w:hAnsi="宋体" w:cs="宋体"/>
          <w:spacing w:val="7"/>
          <w:kern w:val="0"/>
          <w:sz w:val="28"/>
          <w:szCs w:val="28"/>
          <w:highlight w:val="none"/>
          <w:lang w:val="en-US" w:eastAsia="zh-CN"/>
        </w:rPr>
        <w:t>0513—83109995</w:t>
      </w:r>
    </w:p>
    <w:p w14:paraId="2463EE7C">
      <w:pPr>
        <w:keepNext w:val="0"/>
        <w:keepLines w:val="0"/>
        <w:pageBreakBefore w:val="0"/>
        <w:kinsoku/>
        <w:wordWrap/>
        <w:overflowPunct/>
        <w:topLinePunct w:val="0"/>
        <w:autoSpaceDE/>
        <w:autoSpaceDN/>
        <w:bidi w:val="0"/>
        <w:snapToGrid w:val="0"/>
        <w:spacing w:line="500" w:lineRule="exact"/>
        <w:ind w:firstLine="588" w:firstLineChars="200"/>
        <w:contextualSpacing/>
        <w:textAlignment w:val="auto"/>
        <w:rPr>
          <w:rFonts w:hint="eastAsia" w:ascii="宋体" w:hAnsi="宋体" w:cs="宋体"/>
          <w:spacing w:val="7"/>
          <w:kern w:val="0"/>
          <w:sz w:val="28"/>
          <w:szCs w:val="28"/>
          <w:highlight w:val="none"/>
        </w:rPr>
      </w:pPr>
      <w:r>
        <w:rPr>
          <w:rFonts w:hint="eastAsia" w:ascii="宋体" w:hAnsi="宋体" w:cs="宋体"/>
          <w:spacing w:val="7"/>
          <w:kern w:val="0"/>
          <w:sz w:val="28"/>
          <w:szCs w:val="28"/>
          <w:highlight w:val="none"/>
        </w:rPr>
        <w:t>2、采购代理机构信息</w:t>
      </w:r>
    </w:p>
    <w:p w14:paraId="5BC03A02">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highlight w:val="none"/>
        </w:rPr>
      </w:pPr>
      <w:r>
        <w:rPr>
          <w:rFonts w:hint="eastAsia" w:ascii="宋体" w:hAnsi="宋体" w:cs="宋体"/>
          <w:bCs/>
          <w:sz w:val="28"/>
          <w:szCs w:val="28"/>
          <w:highlight w:val="none"/>
        </w:rPr>
        <w:t>代理单位：上海祥浦建设工程监理咨询有限责任公司</w:t>
      </w:r>
    </w:p>
    <w:p w14:paraId="02D509A6">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highlight w:val="none"/>
        </w:rPr>
      </w:pPr>
      <w:r>
        <w:rPr>
          <w:rFonts w:hint="eastAsia" w:ascii="宋体" w:hAnsi="宋体" w:cs="宋体"/>
          <w:bCs/>
          <w:sz w:val="28"/>
          <w:szCs w:val="28"/>
          <w:highlight w:val="none"/>
        </w:rPr>
        <w:t>地    址：启东市汇龙镇江海中路579号建都大厦2#3F</w:t>
      </w:r>
    </w:p>
    <w:p w14:paraId="679C0A01">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highlight w:val="none"/>
        </w:rPr>
      </w:pPr>
      <w:r>
        <w:rPr>
          <w:rFonts w:hint="eastAsia" w:ascii="宋体" w:hAnsi="宋体" w:cs="宋体"/>
          <w:bCs/>
          <w:sz w:val="28"/>
          <w:szCs w:val="28"/>
          <w:highlight w:val="none"/>
        </w:rPr>
        <w:t>联 系 人：俞女士</w:t>
      </w:r>
    </w:p>
    <w:p w14:paraId="3B553C6C">
      <w:pPr>
        <w:keepNext w:val="0"/>
        <w:keepLines w:val="0"/>
        <w:pageBreakBefore w:val="0"/>
        <w:kinsoku/>
        <w:wordWrap/>
        <w:overflowPunct/>
        <w:topLinePunct w:val="0"/>
        <w:autoSpaceDE/>
        <w:autoSpaceDN/>
        <w:bidi w:val="0"/>
        <w:snapToGrid w:val="0"/>
        <w:spacing w:line="500" w:lineRule="exact"/>
        <w:ind w:firstLine="560" w:firstLineChars="200"/>
        <w:contextualSpacing/>
        <w:textAlignment w:val="auto"/>
        <w:rPr>
          <w:rFonts w:hint="eastAsia" w:ascii="宋体" w:hAnsi="宋体" w:cs="宋体"/>
          <w:bCs/>
          <w:sz w:val="28"/>
          <w:szCs w:val="28"/>
          <w:highlight w:val="none"/>
        </w:rPr>
      </w:pPr>
      <w:r>
        <w:rPr>
          <w:rFonts w:hint="eastAsia" w:ascii="宋体" w:hAnsi="宋体" w:cs="宋体"/>
          <w:bCs/>
          <w:sz w:val="28"/>
          <w:szCs w:val="28"/>
          <w:highlight w:val="none"/>
        </w:rPr>
        <w:t>联系电话：0513-83721688</w:t>
      </w:r>
    </w:p>
    <w:p w14:paraId="1A90B30C">
      <w:pPr>
        <w:pStyle w:val="87"/>
        <w:spacing w:after="0" w:line="440" w:lineRule="exact"/>
        <w:rPr>
          <w:highlight w:val="none"/>
        </w:rPr>
      </w:pPr>
    </w:p>
    <w:p w14:paraId="3B38FBF3">
      <w:pPr>
        <w:rPr>
          <w:rFonts w:hint="eastAsia"/>
          <w:highlight w:val="none"/>
        </w:rPr>
      </w:pPr>
    </w:p>
    <w:p w14:paraId="0D66AA0C">
      <w:pPr>
        <w:autoSpaceDE w:val="0"/>
        <w:autoSpaceDN w:val="0"/>
        <w:adjustRightInd w:val="0"/>
        <w:snapToGrid w:val="0"/>
        <w:spacing w:line="500" w:lineRule="exact"/>
        <w:jc w:val="center"/>
        <w:rPr>
          <w:rFonts w:hint="eastAsia" w:ascii="宋体" w:hAnsi="宋体" w:cs="宋体"/>
          <w:sz w:val="36"/>
          <w:szCs w:val="36"/>
          <w:highlight w:val="none"/>
          <w:lang w:val="zh-CN"/>
        </w:rPr>
        <w:sectPr>
          <w:pgSz w:w="11907" w:h="16839"/>
          <w:pgMar w:top="1440" w:right="1417" w:bottom="1440" w:left="1417" w:header="720" w:footer="720" w:gutter="0"/>
          <w:cols w:space="720" w:num="1"/>
          <w:docGrid w:linePitch="286" w:charSpace="0"/>
        </w:sectPr>
      </w:pPr>
    </w:p>
    <w:p w14:paraId="27CBDCB5">
      <w:pPr>
        <w:autoSpaceDE w:val="0"/>
        <w:autoSpaceDN w:val="0"/>
        <w:adjustRightInd w:val="0"/>
        <w:snapToGrid w:val="0"/>
        <w:spacing w:line="500" w:lineRule="exact"/>
        <w:jc w:val="center"/>
        <w:rPr>
          <w:rFonts w:hint="eastAsia" w:ascii="宋体" w:hAnsi="宋体" w:cs="宋体"/>
          <w:sz w:val="36"/>
          <w:szCs w:val="36"/>
          <w:highlight w:val="none"/>
          <w:lang w:val="zh-CN"/>
        </w:rPr>
      </w:pPr>
      <w:r>
        <w:rPr>
          <w:rFonts w:hint="eastAsia" w:ascii="宋体" w:hAnsi="宋体" w:cs="宋体"/>
          <w:sz w:val="36"/>
          <w:szCs w:val="36"/>
          <w:highlight w:val="none"/>
          <w:lang w:val="zh-CN"/>
        </w:rPr>
        <w:t>第二部分 谈判须知</w:t>
      </w:r>
    </w:p>
    <w:p w14:paraId="0D219987">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0" w:name="_Toc120614214"/>
      <w:bookmarkStart w:id="1" w:name="_Toc20823275"/>
      <w:bookmarkStart w:id="2" w:name="_Toc513029203"/>
      <w:bookmarkStart w:id="3" w:name="_Toc16938519"/>
      <w:r>
        <w:rPr>
          <w:rFonts w:hint="eastAsia" w:ascii="宋体" w:hAnsi="宋体" w:eastAsia="宋体" w:cs="宋体"/>
          <w:b/>
          <w:bCs/>
          <w:kern w:val="0"/>
          <w:sz w:val="28"/>
          <w:szCs w:val="28"/>
          <w:highlight w:val="none"/>
        </w:rPr>
        <w:t>（一）总则</w:t>
      </w:r>
      <w:bookmarkEnd w:id="0"/>
      <w:bookmarkEnd w:id="1"/>
      <w:bookmarkEnd w:id="2"/>
      <w:bookmarkEnd w:id="3"/>
    </w:p>
    <w:p w14:paraId="71FDC5A4">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4" w:name="_Hlt16619475"/>
      <w:bookmarkEnd w:id="4"/>
      <w:bookmarkStart w:id="5" w:name="_Toc458694821"/>
      <w:bookmarkStart w:id="6" w:name="_Toc16938520"/>
      <w:bookmarkStart w:id="7" w:name="_Toc513029204"/>
      <w:bookmarkStart w:id="8" w:name="_Toc20823276"/>
      <w:r>
        <w:rPr>
          <w:rFonts w:hint="eastAsia" w:ascii="宋体" w:hAnsi="宋体" w:eastAsia="宋体" w:cs="宋体"/>
          <w:kern w:val="0"/>
          <w:sz w:val="28"/>
          <w:szCs w:val="28"/>
          <w:highlight w:val="none"/>
        </w:rPr>
        <w:t>1</w:t>
      </w:r>
      <w:bookmarkEnd w:id="5"/>
      <w:r>
        <w:rPr>
          <w:rFonts w:hint="eastAsia" w:ascii="宋体" w:hAnsi="宋体" w:eastAsia="宋体" w:cs="宋体"/>
          <w:kern w:val="0"/>
          <w:sz w:val="28"/>
          <w:szCs w:val="28"/>
          <w:highlight w:val="none"/>
        </w:rPr>
        <w:t>.采购方式</w:t>
      </w:r>
      <w:bookmarkEnd w:id="6"/>
      <w:bookmarkEnd w:id="7"/>
      <w:bookmarkEnd w:id="8"/>
    </w:p>
    <w:p w14:paraId="338FA39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 本次采取竞争性谈判方式，本谈判文件仅适用于谈判公告中所述项目。</w:t>
      </w:r>
    </w:p>
    <w:p w14:paraId="745F7079">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9" w:name="_Toc16938521"/>
      <w:bookmarkStart w:id="10" w:name="_Toc20823277"/>
      <w:bookmarkStart w:id="11" w:name="_Toc513029205"/>
      <w:r>
        <w:rPr>
          <w:rFonts w:hint="eastAsia" w:ascii="宋体" w:hAnsi="宋体" w:eastAsia="宋体" w:cs="宋体"/>
          <w:kern w:val="0"/>
          <w:sz w:val="28"/>
          <w:szCs w:val="28"/>
          <w:highlight w:val="none"/>
        </w:rPr>
        <w:t>2.合格的</w:t>
      </w:r>
      <w:bookmarkEnd w:id="9"/>
      <w:bookmarkEnd w:id="10"/>
      <w:bookmarkEnd w:id="11"/>
      <w:r>
        <w:rPr>
          <w:rFonts w:hint="eastAsia" w:ascii="宋体" w:hAnsi="宋体" w:eastAsia="宋体" w:cs="宋体"/>
          <w:kern w:val="0"/>
          <w:sz w:val="28"/>
          <w:szCs w:val="28"/>
          <w:highlight w:val="none"/>
        </w:rPr>
        <w:t>谈判供应商</w:t>
      </w:r>
    </w:p>
    <w:p w14:paraId="4C7D021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2.1满足谈判公告中供应商的资格要求的规定。</w:t>
      </w:r>
    </w:p>
    <w:p w14:paraId="7CE0A7D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 满足本谈判文件实质性条款的规定。</w:t>
      </w:r>
    </w:p>
    <w:p w14:paraId="5D568B02">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12" w:name="_Toc20823278"/>
      <w:bookmarkStart w:id="13" w:name="_Toc513029206"/>
      <w:bookmarkStart w:id="14" w:name="_Toc16938522"/>
      <w:r>
        <w:rPr>
          <w:rFonts w:hint="eastAsia" w:ascii="宋体" w:hAnsi="宋体" w:eastAsia="宋体" w:cs="宋体"/>
          <w:kern w:val="0"/>
          <w:sz w:val="28"/>
          <w:szCs w:val="28"/>
          <w:highlight w:val="none"/>
        </w:rPr>
        <w:t>3.适用法律</w:t>
      </w:r>
      <w:bookmarkEnd w:id="12"/>
      <w:bookmarkEnd w:id="13"/>
      <w:bookmarkEnd w:id="14"/>
    </w:p>
    <w:p w14:paraId="61F7760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 本次采购及由此产生的合同受中华人民共和国有关的法律法规制约和保护。</w:t>
      </w:r>
    </w:p>
    <w:p w14:paraId="5F32DA9A">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15" w:name="_Toc462564067"/>
      <w:bookmarkStart w:id="16" w:name="_Toc513029207"/>
      <w:bookmarkStart w:id="17" w:name="_Toc16938523"/>
      <w:bookmarkStart w:id="18" w:name="_Toc20823279"/>
      <w:r>
        <w:rPr>
          <w:rFonts w:hint="eastAsia" w:ascii="宋体" w:hAnsi="宋体" w:eastAsia="宋体" w:cs="宋体"/>
          <w:kern w:val="0"/>
          <w:sz w:val="28"/>
          <w:szCs w:val="28"/>
          <w:highlight w:val="none"/>
        </w:rPr>
        <w:t>4.谈判费用</w:t>
      </w:r>
      <w:bookmarkEnd w:id="15"/>
      <w:bookmarkEnd w:id="16"/>
      <w:bookmarkEnd w:id="17"/>
      <w:bookmarkEnd w:id="18"/>
    </w:p>
    <w:p w14:paraId="002840F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4.1</w:t>
      </w:r>
      <w:r>
        <w:rPr>
          <w:rFonts w:hint="eastAsia" w:ascii="宋体" w:hAnsi="宋体" w:eastAsia="宋体" w:cs="宋体"/>
          <w:sz w:val="28"/>
          <w:szCs w:val="28"/>
          <w:highlight w:val="none"/>
        </w:rPr>
        <w:t xml:space="preserve"> 参加谈判的供应商应自行承担所有与参加谈判有关的费用，无论谈判过程中的做法和结果如何，采购人在任何情况下均无义务和责任承担这些费用。</w:t>
      </w:r>
    </w:p>
    <w:p w14:paraId="4B9B30A8">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5.谈判文件的约束力</w:t>
      </w:r>
    </w:p>
    <w:p w14:paraId="71D066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5.1</w:t>
      </w:r>
      <w:r>
        <w:rPr>
          <w:rFonts w:hint="eastAsia" w:ascii="宋体" w:hAnsi="宋体" w:eastAsia="宋体" w:cs="宋体"/>
          <w:sz w:val="28"/>
          <w:szCs w:val="28"/>
          <w:highlight w:val="none"/>
        </w:rPr>
        <w:t xml:space="preserve"> 供应商一旦参加本项目采购活动，即被认为接受了本谈判文件的规定和约束。</w:t>
      </w:r>
    </w:p>
    <w:p w14:paraId="5ACE0AD5">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6.谈判文件的解释</w:t>
      </w:r>
    </w:p>
    <w:p w14:paraId="788FF89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6.1</w:t>
      </w:r>
      <w:r>
        <w:rPr>
          <w:rFonts w:hint="eastAsia" w:ascii="宋体" w:hAnsi="宋体" w:eastAsia="宋体" w:cs="宋体"/>
          <w:sz w:val="28"/>
          <w:szCs w:val="28"/>
          <w:highlight w:val="none"/>
        </w:rPr>
        <w:t>谈判文件需求部分（供应商资格要求、项目需求、商务技术评分标准）由采购人解释。</w:t>
      </w:r>
    </w:p>
    <w:p w14:paraId="2A7CBEE9">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19" w:name="_Toc16938525"/>
      <w:bookmarkStart w:id="20" w:name="_Toc513029209"/>
      <w:bookmarkStart w:id="21" w:name="_Toc120614215"/>
      <w:bookmarkStart w:id="22" w:name="_Toc20823281"/>
      <w:r>
        <w:rPr>
          <w:rFonts w:hint="eastAsia" w:ascii="宋体" w:hAnsi="宋体" w:eastAsia="宋体" w:cs="宋体"/>
          <w:b/>
          <w:bCs/>
          <w:kern w:val="0"/>
          <w:sz w:val="28"/>
          <w:szCs w:val="28"/>
          <w:highlight w:val="none"/>
        </w:rPr>
        <w:t>（二）谈判文件</w:t>
      </w:r>
      <w:bookmarkEnd w:id="19"/>
      <w:bookmarkEnd w:id="20"/>
      <w:bookmarkEnd w:id="21"/>
      <w:bookmarkEnd w:id="22"/>
    </w:p>
    <w:p w14:paraId="556236D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23" w:name="_Toc16938526"/>
      <w:bookmarkStart w:id="24" w:name="_Toc513029210"/>
      <w:bookmarkStart w:id="25" w:name="_Toc20823282"/>
      <w:r>
        <w:rPr>
          <w:rFonts w:hint="eastAsia" w:ascii="宋体" w:hAnsi="宋体" w:eastAsia="宋体" w:cs="宋体"/>
          <w:kern w:val="0"/>
          <w:sz w:val="28"/>
          <w:szCs w:val="28"/>
          <w:highlight w:val="none"/>
        </w:rPr>
        <w:t>1.谈判文件构成</w:t>
      </w:r>
      <w:bookmarkEnd w:id="23"/>
      <w:bookmarkEnd w:id="24"/>
      <w:bookmarkEnd w:id="25"/>
    </w:p>
    <w:p w14:paraId="5A6CE12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1.1</w:t>
      </w:r>
      <w:r>
        <w:rPr>
          <w:rFonts w:hint="eastAsia" w:ascii="宋体" w:hAnsi="宋体" w:eastAsia="宋体" w:cs="宋体"/>
          <w:sz w:val="28"/>
          <w:szCs w:val="28"/>
          <w:highlight w:val="none"/>
        </w:rPr>
        <w:t xml:space="preserve"> 谈判文件由以下部分组成：</w:t>
      </w:r>
    </w:p>
    <w:p w14:paraId="5914D84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（1）采购邀请</w:t>
      </w:r>
    </w:p>
    <w:p w14:paraId="399063F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（2）谈判须知</w:t>
      </w:r>
    </w:p>
    <w:p w14:paraId="004FE98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（3）项目需求</w:t>
      </w:r>
    </w:p>
    <w:p w14:paraId="11E3112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（4）评审方法和评审标准</w:t>
      </w:r>
    </w:p>
    <w:p w14:paraId="31D50CA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（5）响应文件组成</w:t>
      </w:r>
    </w:p>
    <w:p w14:paraId="0DD611D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（6）附件</w:t>
      </w:r>
    </w:p>
    <w:p w14:paraId="6ED586D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请仔细检查谈判文件是否齐全，如有缺漏请立即与采购人联系解决。</w:t>
      </w:r>
    </w:p>
    <w:p w14:paraId="395020C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1.2</w:t>
      </w:r>
      <w:r>
        <w:rPr>
          <w:rFonts w:hint="eastAsia" w:ascii="宋体" w:hAnsi="宋体" w:eastAsia="宋体" w:cs="宋体"/>
          <w:sz w:val="28"/>
          <w:szCs w:val="28"/>
          <w:highlight w:val="none"/>
        </w:rPr>
        <w:t xml:space="preserve"> 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4D68389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26" w:name="_Toc462564070"/>
      <w:bookmarkStart w:id="27" w:name="_Toc16938527"/>
      <w:bookmarkStart w:id="28" w:name="_Toc20823283"/>
      <w:bookmarkStart w:id="29" w:name="_Toc513029211"/>
      <w:r>
        <w:rPr>
          <w:rFonts w:hint="eastAsia" w:ascii="宋体" w:hAnsi="宋体" w:eastAsia="宋体" w:cs="宋体"/>
          <w:kern w:val="0"/>
          <w:sz w:val="28"/>
          <w:szCs w:val="28"/>
          <w:highlight w:val="none"/>
        </w:rPr>
        <w:t>2.谈判文件的澄清</w:t>
      </w:r>
      <w:bookmarkEnd w:id="26"/>
      <w:bookmarkEnd w:id="27"/>
      <w:bookmarkEnd w:id="28"/>
      <w:bookmarkEnd w:id="29"/>
    </w:p>
    <w:p w14:paraId="4384C2A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2.1</w:t>
      </w:r>
      <w:r>
        <w:rPr>
          <w:rFonts w:hint="eastAsia" w:ascii="宋体" w:hAnsi="宋体" w:eastAsia="宋体" w:cs="宋体"/>
          <w:sz w:val="28"/>
          <w:szCs w:val="28"/>
          <w:highlight w:val="none"/>
        </w:rPr>
        <w:t xml:space="preserve"> 任何要求对谈判文件进行澄清的供应商，应在提交首次谈判响应文件截止时间三个工作日前按谈判公告中的通讯地址，以书面形式通知采购人。采购人有权对发出的谈判文件进行必要的澄清或修改。</w:t>
      </w:r>
    </w:p>
    <w:p w14:paraId="65FA113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2.2采购人视情组织答疑会</w:t>
      </w:r>
    </w:p>
    <w:p w14:paraId="1BF177E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30" w:name="_Toc513029212"/>
      <w:bookmarkStart w:id="31" w:name="_Toc16938528"/>
      <w:bookmarkStart w:id="32" w:name="_Toc462564071"/>
      <w:bookmarkStart w:id="33" w:name="_Toc20823284"/>
      <w:r>
        <w:rPr>
          <w:rFonts w:hint="eastAsia" w:ascii="宋体" w:hAnsi="宋体" w:eastAsia="宋体" w:cs="宋体"/>
          <w:kern w:val="0"/>
          <w:sz w:val="28"/>
          <w:szCs w:val="28"/>
          <w:highlight w:val="none"/>
        </w:rPr>
        <w:t>3.谈判文件的修改</w:t>
      </w:r>
      <w:bookmarkEnd w:id="30"/>
      <w:bookmarkEnd w:id="31"/>
      <w:bookmarkEnd w:id="32"/>
      <w:bookmarkEnd w:id="33"/>
    </w:p>
    <w:p w14:paraId="666475A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3.1</w:t>
      </w:r>
      <w:r>
        <w:rPr>
          <w:rFonts w:hint="eastAsia" w:ascii="宋体" w:hAnsi="宋体" w:eastAsia="宋体" w:cs="宋体"/>
          <w:sz w:val="28"/>
          <w:szCs w:val="28"/>
          <w:highlight w:val="none"/>
        </w:rPr>
        <w:t xml:space="preserve"> 在谈判响应文件提交截止时间前，采购人可以对谈判文件进行修改。</w:t>
      </w:r>
    </w:p>
    <w:p w14:paraId="2B9B30F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 xml:space="preserve">3.2 </w:t>
      </w:r>
      <w:r>
        <w:rPr>
          <w:rFonts w:hint="eastAsia" w:ascii="宋体" w:hAnsi="宋体" w:eastAsia="宋体" w:cs="宋体"/>
          <w:sz w:val="28"/>
          <w:szCs w:val="28"/>
          <w:highlight w:val="none"/>
        </w:rPr>
        <w:t>采购人有权按照法定的要求推迟响应文件提交截止日期和谈判日期。</w:t>
      </w:r>
    </w:p>
    <w:p w14:paraId="744D8EC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 xml:space="preserve">3.3 </w:t>
      </w:r>
      <w:r>
        <w:rPr>
          <w:rFonts w:hint="eastAsia" w:ascii="宋体" w:hAnsi="宋体" w:eastAsia="宋体" w:cs="宋体"/>
          <w:sz w:val="28"/>
          <w:szCs w:val="28"/>
          <w:highlight w:val="none"/>
        </w:rPr>
        <w:t>谈判文件的修改将在</w:t>
      </w:r>
      <w:r>
        <w:rPr>
          <w:rFonts w:hint="eastAsia" w:ascii="宋体" w:hAnsi="宋体" w:cs="宋体"/>
          <w:sz w:val="28"/>
          <w:szCs w:val="28"/>
          <w:highlight w:val="none"/>
          <w:lang w:eastAsia="zh-CN"/>
        </w:rPr>
        <w:t>启东市自来水厂有限公司</w:t>
      </w:r>
      <w:r>
        <w:rPr>
          <w:rFonts w:hint="eastAsia" w:ascii="宋体" w:hAnsi="宋体" w:eastAsia="宋体" w:cs="宋体"/>
          <w:sz w:val="28"/>
          <w:szCs w:val="28"/>
          <w:highlight w:val="none"/>
        </w:rPr>
        <w:t>网公布，补充文件将作为谈判文件的组成部分，并对供应商具有约束力。</w:t>
      </w:r>
    </w:p>
    <w:p w14:paraId="1AABBB93">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34" w:name="_Toc20823285"/>
      <w:bookmarkStart w:id="35" w:name="_Toc513029213"/>
      <w:bookmarkStart w:id="36" w:name="_Toc120614216"/>
      <w:bookmarkStart w:id="37" w:name="_Toc16938529"/>
      <w:bookmarkStart w:id="38" w:name="_Toc462564072"/>
      <w:r>
        <w:rPr>
          <w:rFonts w:hint="eastAsia" w:ascii="宋体" w:hAnsi="宋体" w:eastAsia="宋体" w:cs="宋体"/>
          <w:b/>
          <w:bCs/>
          <w:kern w:val="0"/>
          <w:sz w:val="28"/>
          <w:szCs w:val="28"/>
          <w:highlight w:val="none"/>
        </w:rPr>
        <w:t>（三）响应文件的编制</w:t>
      </w:r>
      <w:bookmarkEnd w:id="34"/>
      <w:bookmarkEnd w:id="35"/>
      <w:bookmarkEnd w:id="36"/>
      <w:bookmarkEnd w:id="37"/>
      <w:bookmarkEnd w:id="38"/>
    </w:p>
    <w:p w14:paraId="1B8E84CC">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Cs/>
          <w:kern w:val="0"/>
          <w:sz w:val="28"/>
          <w:szCs w:val="28"/>
          <w:highlight w:val="none"/>
        </w:rPr>
      </w:pPr>
      <w:bookmarkStart w:id="39" w:name="_Toc16938530"/>
      <w:bookmarkStart w:id="40" w:name="_Toc513029214"/>
      <w:bookmarkStart w:id="41" w:name="_Toc462564073"/>
      <w:bookmarkStart w:id="42" w:name="_Toc20823286"/>
      <w:r>
        <w:rPr>
          <w:rFonts w:hint="eastAsia" w:ascii="宋体" w:hAnsi="宋体" w:eastAsia="宋体" w:cs="宋体"/>
          <w:kern w:val="0"/>
          <w:sz w:val="28"/>
          <w:szCs w:val="28"/>
          <w:highlight w:val="none"/>
        </w:rPr>
        <w:t>1.响应文件的语言及度量衡单位</w:t>
      </w:r>
      <w:bookmarkEnd w:id="39"/>
      <w:bookmarkEnd w:id="40"/>
      <w:bookmarkEnd w:id="41"/>
      <w:bookmarkEnd w:id="42"/>
    </w:p>
    <w:p w14:paraId="70681F6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1.1</w:t>
      </w:r>
      <w:r>
        <w:rPr>
          <w:rFonts w:hint="eastAsia" w:ascii="宋体" w:hAnsi="宋体" w:eastAsia="宋体" w:cs="宋体"/>
          <w:sz w:val="28"/>
          <w:szCs w:val="28"/>
          <w:highlight w:val="none"/>
        </w:rPr>
        <w:t>供应商提交的响应文件以及供应商与采购人就有关谈判的所有来往通知、函件和文件均应使用</w:t>
      </w:r>
      <w:r>
        <w:rPr>
          <w:rFonts w:hint="eastAsia" w:ascii="宋体" w:hAnsi="宋体" w:eastAsia="宋体" w:cs="宋体"/>
          <w:bCs/>
          <w:sz w:val="28"/>
          <w:szCs w:val="28"/>
          <w:highlight w:val="none"/>
        </w:rPr>
        <w:t>简体中文</w:t>
      </w:r>
      <w:r>
        <w:rPr>
          <w:rFonts w:hint="eastAsia" w:ascii="宋体" w:hAnsi="宋体" w:eastAsia="宋体" w:cs="宋体"/>
          <w:sz w:val="28"/>
          <w:szCs w:val="28"/>
          <w:highlight w:val="none"/>
        </w:rPr>
        <w:t>。</w:t>
      </w:r>
    </w:p>
    <w:p w14:paraId="1EED3B4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1.2</w:t>
      </w:r>
      <w:r>
        <w:rPr>
          <w:rFonts w:hint="eastAsia" w:ascii="宋体" w:hAnsi="宋体" w:eastAsia="宋体" w:cs="宋体"/>
          <w:sz w:val="28"/>
          <w:szCs w:val="28"/>
          <w:highlight w:val="none"/>
        </w:rPr>
        <w:t xml:space="preserve"> 除技术性能另有规定外，响应文件所使用的度量衡单位，均须采用国家法定计量单位。</w:t>
      </w:r>
    </w:p>
    <w:p w14:paraId="1FCC012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43" w:name="_Toc20823287"/>
      <w:bookmarkStart w:id="44" w:name="_Toc462564074"/>
      <w:bookmarkStart w:id="45" w:name="_Toc513029215"/>
      <w:bookmarkStart w:id="46" w:name="_Toc16938531"/>
      <w:r>
        <w:rPr>
          <w:rFonts w:hint="eastAsia" w:ascii="宋体" w:hAnsi="宋体" w:eastAsia="宋体" w:cs="宋体"/>
          <w:kern w:val="0"/>
          <w:sz w:val="28"/>
          <w:szCs w:val="28"/>
          <w:highlight w:val="none"/>
        </w:rPr>
        <w:t>2.响应文件构成</w:t>
      </w:r>
      <w:bookmarkEnd w:id="43"/>
      <w:bookmarkEnd w:id="44"/>
      <w:bookmarkEnd w:id="45"/>
      <w:bookmarkEnd w:id="46"/>
    </w:p>
    <w:p w14:paraId="659BA2B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2.1</w:t>
      </w:r>
      <w:r>
        <w:rPr>
          <w:rFonts w:hint="eastAsia" w:ascii="宋体" w:hAnsi="宋体" w:eastAsia="宋体" w:cs="宋体"/>
          <w:sz w:val="28"/>
          <w:szCs w:val="28"/>
          <w:highlight w:val="none"/>
        </w:rPr>
        <w:t xml:space="preserve"> 供应商编写的响应文件应包括资格审查证明材料文件、价格标文件。供应商按“第五部分 响应文件组成”要求编写响应文件。</w:t>
      </w:r>
    </w:p>
    <w:p w14:paraId="30C59F3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bookmarkStart w:id="47" w:name="_Hlt26954838"/>
      <w:bookmarkEnd w:id="47"/>
      <w:bookmarkStart w:id="48" w:name="_Hlt26670360"/>
      <w:bookmarkEnd w:id="48"/>
      <w:bookmarkStart w:id="49" w:name="_Hlt26668975"/>
      <w:bookmarkEnd w:id="49"/>
      <w:bookmarkStart w:id="50" w:name="_Toc14577360"/>
      <w:bookmarkStart w:id="51" w:name="_Toc49090511"/>
      <w:r>
        <w:rPr>
          <w:rFonts w:hint="eastAsia" w:ascii="宋体" w:hAnsi="宋体" w:eastAsia="宋体" w:cs="宋体"/>
          <w:kern w:val="0"/>
          <w:sz w:val="28"/>
          <w:szCs w:val="28"/>
          <w:highlight w:val="none"/>
        </w:rPr>
        <w:t>3.响应文件的密封、签署、提交</w:t>
      </w:r>
    </w:p>
    <w:p w14:paraId="7C52C7D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3.1响应文件必须提供1份正本2份副本。</w:t>
      </w:r>
    </w:p>
    <w:p w14:paraId="0A4AC8E8">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3.2响应文件</w:t>
      </w:r>
      <w:r>
        <w:rPr>
          <w:rFonts w:hint="eastAsia" w:ascii="宋体" w:hAnsi="宋体" w:eastAsia="宋体" w:cs="宋体"/>
          <w:sz w:val="28"/>
          <w:szCs w:val="28"/>
          <w:highlight w:val="none"/>
        </w:rPr>
        <w:t>统一采用</w:t>
      </w:r>
      <w:r>
        <w:rPr>
          <w:rFonts w:hint="eastAsia" w:ascii="宋体" w:hAnsi="宋体" w:cs="宋体"/>
          <w:sz w:val="28"/>
          <w:szCs w:val="28"/>
          <w:highlight w:val="none"/>
          <w:lang w:val="en-US" w:eastAsia="zh-CN"/>
        </w:rPr>
        <w:t>现场递交</w:t>
      </w:r>
      <w:r>
        <w:rPr>
          <w:rFonts w:hint="eastAsia" w:ascii="宋体" w:hAnsi="宋体" w:eastAsia="宋体" w:cs="宋体"/>
          <w:sz w:val="28"/>
          <w:szCs w:val="28"/>
          <w:highlight w:val="none"/>
          <w:lang w:val="en-US" w:eastAsia="zh-CN"/>
        </w:rPr>
        <w:t>方式</w:t>
      </w:r>
      <w:r>
        <w:rPr>
          <w:rFonts w:hint="eastAsia" w:ascii="宋体" w:hAnsi="宋体" w:eastAsia="宋体" w:cs="宋体"/>
          <w:sz w:val="28"/>
          <w:szCs w:val="28"/>
          <w:highlight w:val="none"/>
        </w:rPr>
        <w:t>提交。</w:t>
      </w:r>
    </w:p>
    <w:p w14:paraId="2C87137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79C0669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3.4供应商的响应文件分二包密封，一包资格审查证明材料、一包价格标（每包内含相应文件正副本）；供应商必须将</w:t>
      </w:r>
      <w:r>
        <w:rPr>
          <w:rFonts w:hint="eastAsia" w:ascii="宋体" w:hAnsi="宋体" w:eastAsia="宋体" w:cs="宋体"/>
          <w:bCs/>
          <w:sz w:val="28"/>
          <w:szCs w:val="28"/>
          <w:highlight w:val="none"/>
          <w:lang w:eastAsia="zh-CN"/>
        </w:rPr>
        <w:t>资格审查证明材料</w:t>
      </w:r>
      <w:r>
        <w:rPr>
          <w:rFonts w:hint="eastAsia" w:ascii="宋体" w:hAnsi="宋体" w:eastAsia="宋体" w:cs="宋体"/>
          <w:bCs/>
          <w:sz w:val="28"/>
          <w:szCs w:val="28"/>
          <w:highlight w:val="none"/>
        </w:rPr>
        <w:t>，价格标分开封装。</w:t>
      </w:r>
    </w:p>
    <w:p w14:paraId="1898DFE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3.5供应商应在响应文件密封袋上标明：采购人名称、项目名称、供应商名称、响应文件名称（如：“</w:t>
      </w:r>
      <w:r>
        <w:rPr>
          <w:rFonts w:hint="eastAsia" w:ascii="宋体" w:hAnsi="宋体" w:eastAsia="宋体" w:cs="宋体"/>
          <w:bCs/>
          <w:sz w:val="28"/>
          <w:szCs w:val="28"/>
          <w:highlight w:val="none"/>
          <w:lang w:eastAsia="zh-CN"/>
        </w:rPr>
        <w:t>资格审查证明材料</w:t>
      </w:r>
      <w:r>
        <w:rPr>
          <w:rFonts w:hint="eastAsia" w:ascii="宋体" w:hAnsi="宋体" w:eastAsia="宋体" w:cs="宋体"/>
          <w:bCs/>
          <w:sz w:val="28"/>
          <w:szCs w:val="28"/>
          <w:highlight w:val="none"/>
        </w:rPr>
        <w:t>”、“价格标”）</w:t>
      </w:r>
      <w:r>
        <w:rPr>
          <w:rFonts w:hint="eastAsia" w:ascii="宋体" w:hAnsi="宋体" w:cs="宋体"/>
          <w:bCs/>
          <w:sz w:val="28"/>
          <w:szCs w:val="28"/>
          <w:highlight w:val="none"/>
          <w:lang w:val="en-US" w:eastAsia="zh-CN"/>
        </w:rPr>
        <w:t>、联系方式</w:t>
      </w:r>
      <w:r>
        <w:rPr>
          <w:rFonts w:hint="eastAsia" w:ascii="宋体" w:hAnsi="宋体" w:cs="宋体"/>
          <w:bCs/>
          <w:sz w:val="28"/>
          <w:szCs w:val="28"/>
          <w:highlight w:val="none"/>
          <w:lang w:eastAsia="zh-CN"/>
        </w:rPr>
        <w:t>、</w:t>
      </w:r>
      <w:r>
        <w:rPr>
          <w:rFonts w:hint="eastAsia" w:ascii="宋体" w:hAnsi="宋体" w:cs="宋体"/>
          <w:bCs/>
          <w:sz w:val="28"/>
          <w:szCs w:val="28"/>
          <w:highlight w:val="none"/>
          <w:lang w:val="en-US" w:eastAsia="zh-CN"/>
        </w:rPr>
        <w:t>日期</w:t>
      </w:r>
      <w:r>
        <w:rPr>
          <w:rFonts w:hint="eastAsia" w:ascii="宋体" w:hAnsi="宋体" w:eastAsia="宋体" w:cs="宋体"/>
          <w:bCs/>
          <w:sz w:val="28"/>
          <w:szCs w:val="28"/>
          <w:highlight w:val="none"/>
        </w:rPr>
        <w:t>。</w:t>
      </w:r>
    </w:p>
    <w:p w14:paraId="22F678E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3.6所有响应文件密封袋的封口处均应加盖供应商印章。</w:t>
      </w:r>
    </w:p>
    <w:p w14:paraId="2021CE66">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3.7如果供应商未按上述要求装订密封及加写标记，将作无效响应文件处理。</w:t>
      </w:r>
    </w:p>
    <w:p w14:paraId="5885C757">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4.响应文件的盖章要求</w:t>
      </w:r>
    </w:p>
    <w:p w14:paraId="620D790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4.1响应文件必须加盖骑缝章或每页盖章。</w:t>
      </w:r>
    </w:p>
    <w:p w14:paraId="14BC386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4.2响应文件如有修改、行间内插字和增删，修改处应由供应商加盖供应商的印章。</w:t>
      </w:r>
    </w:p>
    <w:p w14:paraId="54A244F0">
      <w:pPr>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724E6DAE">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5.</w:t>
      </w:r>
      <w:bookmarkEnd w:id="50"/>
      <w:bookmarkEnd w:id="51"/>
      <w:r>
        <w:rPr>
          <w:rFonts w:hint="eastAsia" w:ascii="宋体" w:hAnsi="宋体" w:eastAsia="宋体" w:cs="宋体"/>
          <w:kern w:val="0"/>
          <w:sz w:val="28"/>
          <w:szCs w:val="28"/>
          <w:highlight w:val="none"/>
        </w:rPr>
        <w:t>谈判响应有效期</w:t>
      </w:r>
    </w:p>
    <w:p w14:paraId="6D8A7A0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5.1谈判响应有效期为采购人规定的响应文件</w:t>
      </w:r>
      <w:r>
        <w:rPr>
          <w:rFonts w:hint="eastAsia" w:ascii="宋体" w:hAnsi="宋体" w:eastAsia="宋体" w:cs="宋体"/>
          <w:sz w:val="28"/>
          <w:szCs w:val="28"/>
          <w:highlight w:val="none"/>
        </w:rPr>
        <w:t>提交</w:t>
      </w:r>
      <w:r>
        <w:rPr>
          <w:rFonts w:hint="eastAsia" w:ascii="宋体" w:hAnsi="宋体" w:eastAsia="宋体" w:cs="宋体"/>
          <w:bCs/>
          <w:sz w:val="28"/>
          <w:szCs w:val="28"/>
          <w:highlight w:val="none"/>
        </w:rPr>
        <w:t>截止时间后</w:t>
      </w:r>
      <w:r>
        <w:rPr>
          <w:rFonts w:hint="eastAsia" w:ascii="宋体" w:hAnsi="宋体" w:eastAsia="宋体" w:cs="宋体"/>
          <w:b/>
          <w:sz w:val="28"/>
          <w:szCs w:val="28"/>
          <w:highlight w:val="none"/>
          <w:u w:val="single"/>
        </w:rPr>
        <w:t>六十（60）天</w:t>
      </w:r>
      <w:r>
        <w:rPr>
          <w:rFonts w:hint="eastAsia" w:ascii="宋体" w:hAnsi="宋体" w:eastAsia="宋体" w:cs="宋体"/>
          <w:bCs/>
          <w:sz w:val="28"/>
          <w:szCs w:val="28"/>
          <w:highlight w:val="none"/>
        </w:rPr>
        <w:t>。谈判响应有效期比规定短的将被视为非实质性响应而予以拒绝。</w:t>
      </w:r>
    </w:p>
    <w:p w14:paraId="45E232B8">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6.谈判响应有效期的延长</w:t>
      </w:r>
    </w:p>
    <w:p w14:paraId="161F5F4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w:t>
      </w:r>
      <w:r>
        <w:rPr>
          <w:rFonts w:hint="eastAsia" w:ascii="宋体" w:hAnsi="宋体" w:eastAsia="宋体" w:cs="宋体"/>
          <w:sz w:val="28"/>
          <w:szCs w:val="28"/>
          <w:highlight w:val="none"/>
        </w:rPr>
        <w:t>受谈判响应有效期约束的所有权利与义务均延长至新的有效期</w:t>
      </w:r>
      <w:r>
        <w:rPr>
          <w:rFonts w:hint="eastAsia" w:ascii="宋体" w:hAnsi="宋体" w:eastAsia="宋体" w:cs="宋体"/>
          <w:bCs/>
          <w:sz w:val="28"/>
          <w:szCs w:val="28"/>
          <w:highlight w:val="none"/>
        </w:rPr>
        <w:t>。</w:t>
      </w:r>
    </w:p>
    <w:p w14:paraId="6CD29A96">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52" w:name="_Hlt26954852"/>
      <w:bookmarkEnd w:id="52"/>
      <w:bookmarkStart w:id="53" w:name="_Hlt26954739"/>
      <w:bookmarkEnd w:id="53"/>
      <w:bookmarkStart w:id="54" w:name="_Toc16938540"/>
      <w:bookmarkStart w:id="55" w:name="_Toc120614217"/>
      <w:bookmarkStart w:id="56" w:name="_Toc513029224"/>
      <w:bookmarkStart w:id="57" w:name="_Toc20823296"/>
      <w:r>
        <w:rPr>
          <w:rFonts w:hint="eastAsia" w:ascii="宋体" w:hAnsi="宋体" w:eastAsia="宋体" w:cs="宋体"/>
          <w:b/>
          <w:bCs/>
          <w:kern w:val="0"/>
          <w:sz w:val="28"/>
          <w:szCs w:val="28"/>
          <w:highlight w:val="none"/>
        </w:rPr>
        <w:t>（四）响应文件的</w:t>
      </w:r>
      <w:bookmarkEnd w:id="54"/>
      <w:bookmarkEnd w:id="55"/>
      <w:bookmarkEnd w:id="56"/>
      <w:bookmarkEnd w:id="57"/>
      <w:r>
        <w:rPr>
          <w:rFonts w:hint="eastAsia" w:ascii="宋体" w:hAnsi="宋体" w:eastAsia="宋体" w:cs="宋体"/>
          <w:b/>
          <w:bCs/>
          <w:kern w:val="0"/>
          <w:sz w:val="28"/>
          <w:szCs w:val="28"/>
          <w:highlight w:val="none"/>
        </w:rPr>
        <w:t>提交</w:t>
      </w:r>
    </w:p>
    <w:p w14:paraId="2F09E8B6">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58" w:name="_Toc20823297"/>
      <w:bookmarkStart w:id="59" w:name="_Toc462564084"/>
      <w:bookmarkStart w:id="60" w:name="_Toc513029225"/>
      <w:bookmarkStart w:id="61" w:name="_Toc16938541"/>
      <w:r>
        <w:rPr>
          <w:rFonts w:hint="eastAsia" w:ascii="宋体" w:hAnsi="宋体" w:eastAsia="宋体" w:cs="宋体"/>
          <w:kern w:val="0"/>
          <w:sz w:val="28"/>
          <w:szCs w:val="28"/>
          <w:highlight w:val="none"/>
        </w:rPr>
        <w:t>1.响应文件</w:t>
      </w:r>
      <w:bookmarkEnd w:id="58"/>
      <w:bookmarkEnd w:id="59"/>
      <w:bookmarkEnd w:id="60"/>
      <w:bookmarkEnd w:id="61"/>
      <w:r>
        <w:rPr>
          <w:rFonts w:hint="eastAsia" w:ascii="宋体" w:hAnsi="宋体" w:eastAsia="宋体" w:cs="宋体"/>
          <w:kern w:val="0"/>
          <w:sz w:val="28"/>
          <w:szCs w:val="28"/>
          <w:highlight w:val="none"/>
        </w:rPr>
        <w:t>的提交</w:t>
      </w:r>
    </w:p>
    <w:p w14:paraId="0A3240F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1.1供应商应当在</w:t>
      </w:r>
      <w:r>
        <w:rPr>
          <w:rFonts w:hint="eastAsia" w:ascii="宋体" w:hAnsi="宋体" w:eastAsia="宋体" w:cs="宋体"/>
          <w:sz w:val="28"/>
          <w:szCs w:val="28"/>
          <w:highlight w:val="none"/>
        </w:rPr>
        <w:t>投标文件提交</w:t>
      </w:r>
      <w:r>
        <w:rPr>
          <w:rFonts w:hint="eastAsia" w:ascii="宋体" w:hAnsi="宋体" w:eastAsia="宋体" w:cs="宋体"/>
          <w:bCs/>
          <w:sz w:val="28"/>
          <w:szCs w:val="28"/>
          <w:highlight w:val="none"/>
        </w:rPr>
        <w:t>截止时间前提交按照谈判文件要求密封的响应文件。</w:t>
      </w:r>
      <w:bookmarkStart w:id="62" w:name="_Toc16938542"/>
      <w:bookmarkStart w:id="63" w:name="_Toc20823298"/>
      <w:bookmarkStart w:id="64" w:name="_Toc513029226"/>
    </w:p>
    <w:p w14:paraId="4373E25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highlight w:val="none"/>
        </w:rPr>
      </w:pPr>
      <w:r>
        <w:rPr>
          <w:rFonts w:hint="eastAsia" w:ascii="宋体" w:hAnsi="宋体" w:eastAsia="宋体" w:cs="宋体"/>
          <w:sz w:val="28"/>
          <w:szCs w:val="28"/>
          <w:highlight w:val="none"/>
        </w:rPr>
        <w:t>2.响应文件截止日期</w:t>
      </w:r>
      <w:bookmarkEnd w:id="62"/>
      <w:bookmarkEnd w:id="63"/>
      <w:bookmarkEnd w:id="64"/>
    </w:p>
    <w:p w14:paraId="5C6DAD6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2.1 供应商提交响应文件的时间不得迟于谈判公告中规定的响应文件提交截止时间。</w:t>
      </w:r>
    </w:p>
    <w:p w14:paraId="55DD3AA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供应商应充分考虑考虑天气、快递速度、路程等因素，如因供应商自身原因造成的后果由供应商自行承担全部责任。</w:t>
      </w:r>
    </w:p>
    <w:p w14:paraId="1B20BA9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2.2</w:t>
      </w:r>
      <w:r>
        <w:rPr>
          <w:rFonts w:hint="eastAsia" w:ascii="宋体" w:hAnsi="宋体" w:eastAsia="宋体" w:cs="宋体"/>
          <w:bCs/>
          <w:sz w:val="28"/>
          <w:szCs w:val="28"/>
          <w:highlight w:val="none"/>
        </w:rPr>
        <w:t xml:space="preserve"> 采购人可以按照规定，通过修改响应文件酌情延长响应文件提交截止日期，在此情况下，供应商的所有权利和义务以及供应商受制的截止日期均应以延长后新的截止日期为准。</w:t>
      </w:r>
    </w:p>
    <w:p w14:paraId="5D563614">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65" w:name="_Toc16938543"/>
      <w:bookmarkStart w:id="66" w:name="_Toc20823299"/>
      <w:bookmarkStart w:id="67" w:name="_Toc513029227"/>
      <w:r>
        <w:rPr>
          <w:rFonts w:hint="eastAsia" w:ascii="宋体" w:hAnsi="宋体" w:eastAsia="宋体" w:cs="宋体"/>
          <w:kern w:val="0"/>
          <w:sz w:val="28"/>
          <w:szCs w:val="28"/>
          <w:highlight w:val="none"/>
        </w:rPr>
        <w:t>3.响应文件</w:t>
      </w:r>
      <w:bookmarkEnd w:id="65"/>
      <w:bookmarkEnd w:id="66"/>
      <w:bookmarkEnd w:id="67"/>
      <w:r>
        <w:rPr>
          <w:rFonts w:hint="eastAsia" w:ascii="宋体" w:hAnsi="宋体" w:eastAsia="宋体" w:cs="宋体"/>
          <w:kern w:val="0"/>
          <w:sz w:val="28"/>
          <w:szCs w:val="28"/>
          <w:highlight w:val="none"/>
        </w:rPr>
        <w:t>的拒收</w:t>
      </w:r>
    </w:p>
    <w:p w14:paraId="7AD5D61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3.1 采购人拒绝接收未按照谈判文件要求密封的响应文件，拒绝接收在投标文件接收截止时间后</w:t>
      </w:r>
      <w:r>
        <w:rPr>
          <w:rFonts w:hint="eastAsia" w:ascii="宋体" w:hAnsi="宋体" w:cs="宋体"/>
          <w:bCs/>
          <w:sz w:val="28"/>
          <w:szCs w:val="28"/>
          <w:highlight w:val="none"/>
          <w:lang w:val="en-US" w:eastAsia="zh-CN"/>
        </w:rPr>
        <w:t>送</w:t>
      </w:r>
      <w:r>
        <w:rPr>
          <w:rFonts w:hint="eastAsia" w:ascii="宋体" w:hAnsi="宋体" w:eastAsia="宋体" w:cs="宋体"/>
          <w:bCs/>
          <w:sz w:val="28"/>
          <w:szCs w:val="28"/>
          <w:highlight w:val="none"/>
        </w:rPr>
        <w:t>达的响应文件。</w:t>
      </w:r>
    </w:p>
    <w:p w14:paraId="4209A3F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bCs/>
          <w:kern w:val="0"/>
          <w:sz w:val="28"/>
          <w:szCs w:val="28"/>
          <w:highlight w:val="none"/>
        </w:rPr>
      </w:pPr>
      <w:bookmarkStart w:id="68" w:name="_Toc16938544"/>
      <w:bookmarkStart w:id="69" w:name="_Toc20823300"/>
      <w:bookmarkStart w:id="70" w:name="_Toc513029228"/>
      <w:r>
        <w:rPr>
          <w:rFonts w:hint="eastAsia" w:ascii="宋体" w:hAnsi="宋体" w:eastAsia="宋体" w:cs="宋体"/>
          <w:kern w:val="0"/>
          <w:sz w:val="28"/>
          <w:szCs w:val="28"/>
          <w:highlight w:val="none"/>
        </w:rPr>
        <w:t>4. 响应文件的撤回和修改</w:t>
      </w:r>
      <w:bookmarkEnd w:id="68"/>
      <w:bookmarkEnd w:id="69"/>
      <w:bookmarkEnd w:id="70"/>
    </w:p>
    <w:p w14:paraId="00205EE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 响应文件的撤回</w:t>
      </w:r>
    </w:p>
    <w:p w14:paraId="3B28B79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4.1.1 响应文件的撤回</w:t>
      </w:r>
    </w:p>
    <w:p w14:paraId="1B51795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供应商可在响应文件提交截止时间前，撤回其响应文件。</w:t>
      </w:r>
    </w:p>
    <w:p w14:paraId="4E9C4BE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4.1.2 供应商撤回响应文件，则认为其不再参与本项目谈判活动。</w:t>
      </w:r>
    </w:p>
    <w:p w14:paraId="6035F5F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4.2 响应文件的修改</w:t>
      </w:r>
    </w:p>
    <w:p w14:paraId="7298D76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供应商可在响应文件提交截止时间前，对其响应文件进行修改，</w:t>
      </w:r>
      <w:r>
        <w:rPr>
          <w:rFonts w:hint="eastAsia" w:ascii="宋体" w:hAnsi="宋体" w:eastAsia="宋体" w:cs="宋体"/>
          <w:sz w:val="28"/>
          <w:szCs w:val="28"/>
          <w:highlight w:val="none"/>
        </w:rPr>
        <w:t>供应商必须将修改响应文件的书面材料密封后提交给采购代理机构，同时在封套上标明“修改谈判响应文件”和“开标时启封”字样。采购人或采购代理机构可以予以接收，但不退换响应文件。补充、修改的内容应当按照谈判文件要求签署、盖章、密封后，作为响应文件的组成部分。</w:t>
      </w:r>
    </w:p>
    <w:p w14:paraId="283BD96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4.3</w:t>
      </w:r>
      <w:r>
        <w:rPr>
          <w:rFonts w:hint="eastAsia" w:ascii="宋体" w:hAnsi="宋体" w:eastAsia="宋体" w:cs="宋体"/>
          <w:bCs/>
          <w:sz w:val="28"/>
          <w:szCs w:val="28"/>
          <w:highlight w:val="none"/>
        </w:rPr>
        <w:t xml:space="preserve"> 在响应文件提交截止时间之后，供应商不得对其响应文件作任何修改。</w:t>
      </w:r>
    </w:p>
    <w:p w14:paraId="10A4688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4.4</w:t>
      </w:r>
      <w:r>
        <w:rPr>
          <w:rFonts w:hint="eastAsia" w:ascii="宋体" w:hAnsi="宋体" w:eastAsia="宋体" w:cs="宋体"/>
          <w:bCs/>
          <w:sz w:val="28"/>
          <w:szCs w:val="28"/>
          <w:highlight w:val="none"/>
        </w:rPr>
        <w:t xml:space="preserve"> 在响应文件截止时间至响应文件中规定的谈判响应有效期满之间的这段时间内，供应商不得撤回其响应文件。</w:t>
      </w:r>
    </w:p>
    <w:p w14:paraId="52EF2A94">
      <w:pPr>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eastAsia="宋体" w:cs="宋体"/>
          <w:b/>
          <w:bCs/>
          <w:sz w:val="28"/>
          <w:szCs w:val="28"/>
          <w:highlight w:val="none"/>
        </w:rPr>
      </w:pPr>
      <w:bookmarkStart w:id="71" w:name="_Toc120614218"/>
      <w:bookmarkStart w:id="72" w:name="_Toc16938545"/>
      <w:bookmarkStart w:id="73" w:name="_Toc20823301"/>
      <w:bookmarkStart w:id="74" w:name="_Toc513029229"/>
      <w:r>
        <w:rPr>
          <w:rFonts w:hint="eastAsia" w:ascii="宋体" w:hAnsi="宋体" w:eastAsia="宋体" w:cs="宋体"/>
          <w:b/>
          <w:bCs/>
          <w:sz w:val="28"/>
          <w:szCs w:val="28"/>
          <w:highlight w:val="none"/>
        </w:rPr>
        <w:t>（五）</w:t>
      </w:r>
      <w:bookmarkEnd w:id="71"/>
      <w:bookmarkEnd w:id="72"/>
      <w:bookmarkEnd w:id="73"/>
      <w:bookmarkEnd w:id="74"/>
      <w:bookmarkStart w:id="75" w:name="_Toc20823302"/>
      <w:bookmarkStart w:id="76" w:name="_Toc513029230"/>
      <w:bookmarkStart w:id="77" w:name="_Toc16938546"/>
      <w:r>
        <w:rPr>
          <w:rFonts w:hint="eastAsia" w:ascii="宋体" w:hAnsi="宋体" w:eastAsia="宋体" w:cs="宋体"/>
          <w:b/>
          <w:bCs/>
          <w:sz w:val="28"/>
          <w:szCs w:val="28"/>
          <w:highlight w:val="none"/>
        </w:rPr>
        <w:t>谈判与评审</w:t>
      </w:r>
    </w:p>
    <w:p w14:paraId="586FDB7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1.谈判仪式</w:t>
      </w:r>
    </w:p>
    <w:p w14:paraId="0BD7CAD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1.1采购人将在谈判公告中规定的时间和地点组织谈判开始仪式。</w:t>
      </w:r>
    </w:p>
    <w:p w14:paraId="09BD69B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highlight w:val="none"/>
        </w:rPr>
      </w:pPr>
      <w:r>
        <w:rPr>
          <w:rFonts w:hint="eastAsia" w:ascii="宋体" w:hAnsi="宋体" w:eastAsia="宋体" w:cs="宋体"/>
          <w:bCs/>
          <w:sz w:val="28"/>
          <w:szCs w:val="28"/>
          <w:highlight w:val="none"/>
        </w:rPr>
        <w:t>1.2 谈判活动的文件开标工作</w:t>
      </w:r>
      <w:r>
        <w:rPr>
          <w:rFonts w:hint="eastAsia" w:ascii="宋体" w:hAnsi="宋体" w:eastAsia="宋体" w:cs="宋体"/>
          <w:sz w:val="28"/>
          <w:szCs w:val="28"/>
          <w:highlight w:val="none"/>
        </w:rPr>
        <w:t>由采购人组织，在谈判公告中规定的时间和地点进行谈判，并公布各供应商的最后报价。</w:t>
      </w:r>
    </w:p>
    <w:p w14:paraId="357A25B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2.竞争性谈判小组</w:t>
      </w:r>
    </w:p>
    <w:p w14:paraId="7CBAC64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2.1谈判开始仪式结束后，采购人将组织竞争性谈判小组进行评审。</w:t>
      </w:r>
    </w:p>
    <w:p w14:paraId="3CB2E45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2.2竞争性谈判小组由采购人代表和评审专家共3人以上单数组成，其中评审专家人数不得少于竞争性谈判小组成员总数的2/3。采购人不得以评审专家身份参加本部门或本单位采购项目的评审。</w:t>
      </w:r>
    </w:p>
    <w:p w14:paraId="46CB507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2.3达到公开招标限额标准的货物或者服务采购项目，竞争性谈判小组应当由5人以上单数组成。</w:t>
      </w:r>
    </w:p>
    <w:p w14:paraId="2A856E7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2.4谈判小组独立工作，负责评审所有响应文件并确定成交侯选人。</w:t>
      </w:r>
    </w:p>
    <w:p w14:paraId="0B0829E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 谈判评审过程的保密与公正</w:t>
      </w:r>
    </w:p>
    <w:p w14:paraId="50F0B2F0">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3.1谈判小组、采购人、相关监督人员等与评审工作有关的人员，对评审情况以及在评审过程中获悉的国家秘密、商业秘密负有保密责任。</w:t>
      </w:r>
    </w:p>
    <w:p w14:paraId="04598F2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3.2在谈判评审过程中，谈判供应商不得以任何行为影响谈判评审过程，否则其响应文件将被作为无效响应文件。</w:t>
      </w:r>
    </w:p>
    <w:p w14:paraId="3CB7BF18">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0714F484">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3.4</w:t>
      </w:r>
      <w:r>
        <w:rPr>
          <w:rFonts w:hint="eastAsia" w:ascii="宋体" w:hAnsi="宋体" w:eastAsia="宋体" w:cs="宋体"/>
          <w:bCs/>
          <w:sz w:val="28"/>
          <w:szCs w:val="28"/>
          <w:highlight w:val="none"/>
        </w:rPr>
        <w:t>评审开始后，直至向成交供应商授予合同时止，凡是与审查、澄清、评价和比较响应的有关资料以及授标建议等，采购人、谈判小组均不得向供应商或与评审无关的其他人员透露。</w:t>
      </w:r>
    </w:p>
    <w:p w14:paraId="7DAC2C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3.5在评审期间，采购人将设专门人员与供应商联系。</w:t>
      </w:r>
    </w:p>
    <w:p w14:paraId="1C6983C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3.6采购人和评审小组不向未成交的供应商解释未成交原因，也不公布评审过程中的相关细节。</w:t>
      </w:r>
    </w:p>
    <w:p w14:paraId="68FE0DD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4、评审过程的澄清</w:t>
      </w:r>
    </w:p>
    <w:p w14:paraId="41BDCA3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4.1评审期间，为有助于对响应文件的审查、评价和比较，谈判小组有权以电子函件形式要求响应人对其响应文件进行澄清，但并非对每个供应商都作澄清要求。</w:t>
      </w:r>
    </w:p>
    <w:p w14:paraId="1613B59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4.2接到谈判小组澄清要求的供应商应派人按谈判小组规定的时间和格式做出澄清，澄清的内容作为响应文件的补充部分，但实质性的内容不得做任何更改。</w:t>
      </w:r>
    </w:p>
    <w:p w14:paraId="088AB86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4.3 接到谈判小组澄清要求的供应商如未按规定做出澄清，其风</w:t>
      </w:r>
      <w:r>
        <w:rPr>
          <w:rFonts w:hint="eastAsia" w:ascii="宋体" w:hAnsi="宋体" w:eastAsia="宋体" w:cs="宋体"/>
          <w:bCs/>
          <w:sz w:val="28"/>
          <w:szCs w:val="28"/>
          <w:highlight w:val="none"/>
        </w:rPr>
        <w:t>险由供应商自行承担。</w:t>
      </w:r>
    </w:p>
    <w:p w14:paraId="2FC060F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5.对响应文件的初审</w:t>
      </w:r>
    </w:p>
    <w:p w14:paraId="3FFD4FB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5.1响应文件初审分为资格性审查和符合性审查。</w:t>
      </w:r>
    </w:p>
    <w:p w14:paraId="20E6FC2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5.1.1资格性审查：依据法律法规和谈判文件的规定，由采购人对响应文件中的资格审查证明材料进行审查。进入评标程序后，资格审查的结论，采购人以书面形式向谈判小组进行反馈。</w:t>
      </w:r>
    </w:p>
    <w:p w14:paraId="215775C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07D3BA6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5.1.2未通过资格审查的供应商人，采购人或招标代理将告知未通过资格审查的原因，评审结束后，采购人或招标代理将不再告知未通过资格审查的原因。</w:t>
      </w:r>
    </w:p>
    <w:p w14:paraId="1EA94116">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5.2在正式谈判之前，谈判小组将首先审查每份响应文件是否实质性响应了谈判文件的要求。实质性响应的响应文件应该是与谈判文件要求的全部条款、条件和规格相符，没有重大负偏离或保留。</w:t>
      </w:r>
    </w:p>
    <w:p w14:paraId="4B3BAF28">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0758D00D">
      <w:pPr>
        <w:pageBreakBefore w:val="0"/>
        <w:widowControl w:val="0"/>
        <w:tabs>
          <w:tab w:val="left" w:pos="900"/>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5.3如果响应文件实质上没有响应谈判文件的要求，谈判小组将予以拒绝，供应商不得通过修改或撤销不合要求的偏离或保留而使其响应文件成为实质性响应的文件。</w:t>
      </w:r>
    </w:p>
    <w:p w14:paraId="2C8EBC1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5.4</w:t>
      </w:r>
      <w:r>
        <w:rPr>
          <w:rFonts w:hint="eastAsia" w:ascii="宋体" w:hAnsi="宋体" w:eastAsia="宋体" w:cs="宋体"/>
          <w:bCs/>
          <w:sz w:val="28"/>
          <w:szCs w:val="28"/>
          <w:highlight w:val="none"/>
        </w:rPr>
        <w:t>谈判小组将对确定为实质性响应的文件进行进一步审核，看其是否有计算上或累加上的算术错误，修正错误的原则如下：</w:t>
      </w:r>
    </w:p>
    <w:p w14:paraId="574B2D5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（1）响应文件中</w:t>
      </w:r>
      <w:r>
        <w:rPr>
          <w:rFonts w:hint="eastAsia" w:ascii="宋体" w:hAnsi="宋体" w:eastAsia="宋体" w:cs="宋体"/>
          <w:kern w:val="0"/>
          <w:sz w:val="28"/>
          <w:szCs w:val="28"/>
          <w:highlight w:val="none"/>
        </w:rPr>
        <w:t>谈判报价总表</w:t>
      </w:r>
      <w:r>
        <w:rPr>
          <w:rFonts w:hint="eastAsia" w:ascii="宋体" w:hAnsi="宋体" w:eastAsia="宋体" w:cs="宋体"/>
          <w:bCs/>
          <w:sz w:val="28"/>
          <w:szCs w:val="28"/>
          <w:highlight w:val="none"/>
        </w:rPr>
        <w:t>内容与响应文件中相应内容不一致的，以</w:t>
      </w:r>
      <w:r>
        <w:rPr>
          <w:rFonts w:hint="eastAsia" w:ascii="宋体" w:hAnsi="宋体" w:eastAsia="宋体" w:cs="宋体"/>
          <w:kern w:val="0"/>
          <w:sz w:val="28"/>
          <w:szCs w:val="28"/>
          <w:highlight w:val="none"/>
        </w:rPr>
        <w:t>谈判报价总表</w:t>
      </w:r>
      <w:r>
        <w:rPr>
          <w:rFonts w:hint="eastAsia" w:ascii="宋体" w:hAnsi="宋体" w:eastAsia="宋体" w:cs="宋体"/>
          <w:bCs/>
          <w:sz w:val="28"/>
          <w:szCs w:val="28"/>
          <w:highlight w:val="none"/>
        </w:rPr>
        <w:t>为准。</w:t>
      </w:r>
    </w:p>
    <w:p w14:paraId="3F96514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（2）大写金额和小写金额不一致的，以大写金额为准。</w:t>
      </w:r>
    </w:p>
    <w:p w14:paraId="5B62E62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（3）单价金额小数点或者百分比有明显错位的，以</w:t>
      </w:r>
      <w:r>
        <w:rPr>
          <w:rFonts w:hint="eastAsia" w:ascii="宋体" w:hAnsi="宋体" w:eastAsia="宋体" w:cs="宋体"/>
          <w:kern w:val="0"/>
          <w:sz w:val="28"/>
          <w:szCs w:val="28"/>
          <w:highlight w:val="none"/>
        </w:rPr>
        <w:t>谈判报价总表</w:t>
      </w:r>
      <w:r>
        <w:rPr>
          <w:rFonts w:hint="eastAsia" w:ascii="宋体" w:hAnsi="宋体" w:eastAsia="宋体" w:cs="宋体"/>
          <w:bCs/>
          <w:sz w:val="28"/>
          <w:szCs w:val="28"/>
          <w:highlight w:val="none"/>
        </w:rPr>
        <w:t>的总价为准，并修改单价。</w:t>
      </w:r>
    </w:p>
    <w:p w14:paraId="27AEB21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（4）总价金额与按单价汇总金额不一致的，以单价金额计算结果为准。</w:t>
      </w:r>
    </w:p>
    <w:p w14:paraId="162CB4D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同时出现两种以上错误的，按照前款规定的顺序修正。</w:t>
      </w:r>
    </w:p>
    <w:p w14:paraId="5273A74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5</w:t>
      </w:r>
      <w:r>
        <w:rPr>
          <w:rFonts w:hint="eastAsia" w:ascii="宋体" w:hAnsi="宋体" w:eastAsia="宋体" w:cs="宋体"/>
          <w:bCs/>
          <w:sz w:val="28"/>
          <w:szCs w:val="28"/>
          <w:highlight w:val="none"/>
        </w:rPr>
        <w:t>.5谈判小组将按上述修正错误的方法调整响应文件中的报价，并通过电话形式告知供应商，调整后的价格应对供应商具有约束力。如果供应商不接受修正后的价格，则其谈判活动将被拒绝。</w:t>
      </w:r>
    </w:p>
    <w:p w14:paraId="32187D4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5.6谈判小组将允许修正响应文件中不构成重大偏离的、微小的、非正规的、不一致的或不规则的地方，但这些修改不能影响任何供应商相应的名次排列。</w:t>
      </w:r>
    </w:p>
    <w:p w14:paraId="5EAB36E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5.7提供相同品牌相同型号产品的不同供应商参加同一合同项下谈判的，以其中通过资格审查且报价最低的参加谈判；报价相同的，由谈判小组按照随机抽取的方式确定一个参加谈判的供应商</w:t>
      </w:r>
      <w:r>
        <w:rPr>
          <w:rFonts w:hint="eastAsia" w:ascii="宋体" w:hAnsi="宋体" w:eastAsia="宋体" w:cs="宋体"/>
          <w:bCs/>
          <w:sz w:val="28"/>
          <w:szCs w:val="28"/>
          <w:highlight w:val="none"/>
        </w:rPr>
        <w:t>。</w:t>
      </w:r>
    </w:p>
    <w:p w14:paraId="4B81C28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非单一产品采购项目，谈判文件中将载明其中的核心产品。多家供应商提供的核心产品品牌相同的，按前款规定处理。</w:t>
      </w:r>
    </w:p>
    <w:p w14:paraId="070BAF9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sz w:val="28"/>
          <w:szCs w:val="28"/>
          <w:highlight w:val="none"/>
        </w:rPr>
        <w:t>5.8 供应商在评审全过程中应保持通讯畅通，并安排专人与采购人及谈判小组联系。</w:t>
      </w:r>
    </w:p>
    <w:p w14:paraId="7A78BDD2">
      <w:pPr>
        <w:pageBreakBefore w:val="0"/>
        <w:widowControl w:val="0"/>
        <w:tabs>
          <w:tab w:val="left" w:pos="6555"/>
          <w:tab w:val="right" w:pos="8306"/>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 被认定为未实质性响应谈判文件的响应文件的情形。</w:t>
      </w:r>
    </w:p>
    <w:p w14:paraId="665A6D9A">
      <w:pPr>
        <w:pStyle w:val="17"/>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6.1出现下列情形之一的，作无效响应处理。</w:t>
      </w:r>
    </w:p>
    <w:p w14:paraId="57BF85F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6.1.1响应文件未按照谈判文件的要求进行制作或密封的。</w:t>
      </w:r>
    </w:p>
    <w:p w14:paraId="5611BC6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6.1.2 响应文件未按谈判文件的要求签字或签章的。</w:t>
      </w:r>
    </w:p>
    <w:p w14:paraId="58B02D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6.1.3响应文件未按规定加盖供应商印章，投标报价部分未盖章的。</w:t>
      </w:r>
    </w:p>
    <w:p w14:paraId="72ECBFF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6.1.4响应文件的关键内容字迹模糊，无法辨认的。</w:t>
      </w:r>
    </w:p>
    <w:p w14:paraId="6F21FE8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6.1.5不具备谈判文件中规定的资格要求的。</w:t>
      </w:r>
    </w:p>
    <w:p w14:paraId="52D6897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6.1.6供应商属于投标禁止情形的。</w:t>
      </w:r>
    </w:p>
    <w:p w14:paraId="334F8E4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6.1.7响应文件除价格标外出现报价的。</w:t>
      </w:r>
    </w:p>
    <w:p w14:paraId="73EBA8D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6.1.8响应报价超过了采购预算或最高限价的。 </w:t>
      </w:r>
    </w:p>
    <w:p w14:paraId="404873E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6.1.9同一供应商提交两个（含两个）以上不同的响应报价的。</w:t>
      </w:r>
    </w:p>
    <w:p w14:paraId="679A142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6.1.10供应商的谈判最终报价大于自己前一轮的。</w:t>
      </w:r>
    </w:p>
    <w:p w14:paraId="1343A17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6.1.11不符合法律、法规和谈判文件中规定的其他实质性要求的。</w:t>
      </w:r>
    </w:p>
    <w:p w14:paraId="0BBD4F0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5ABB8AB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6.1.13 响应文件含有采购人不能接受的附加条件的。</w:t>
      </w:r>
    </w:p>
    <w:p w14:paraId="00A132E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6.1.14异常低价投标（响应）审查的情形和具体要求：</w:t>
      </w:r>
    </w:p>
    <w:p w14:paraId="0DBB028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（一）评审过程中出现下列情形之一的，谈判小组应当启动异常低价投标（响应）审查程序：</w:t>
      </w:r>
    </w:p>
    <w:p w14:paraId="11F40B1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1.投标（响应）报价低于全部通过符合性审查供应商投标（响应）报价平均值50%的，即投标（响应）报价&lt;全部通过符合性审查供应商投标（响应）报价平均值×50%；</w:t>
      </w:r>
    </w:p>
    <w:p w14:paraId="3C597AA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2.投标（响应）报价低于通过符合性审查的次低报价供应商投标（响应）报价50%的，即投标（响应）报价&lt;通过符合性审查的次低报价供应商投标（响应）报价×50%；</w:t>
      </w:r>
    </w:p>
    <w:p w14:paraId="6FB550A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3.投标（响应）报价低于采购项目最高限价45%的，即投标（响应）报价&lt;采购项目最高限价×45%；</w:t>
      </w:r>
    </w:p>
    <w:p w14:paraId="7BAECEB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4.谈判小组基于专业判断，认为供应商报价过低，有可能影响产品质量或者不能诚信履约的其他情形。</w:t>
      </w:r>
    </w:p>
    <w:p w14:paraId="7141571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（采购人可以结合具体项目实际情况，提高上述第1 项至第3 项中启动异常低价投标（响应）审查的数值标准，但是最高不得超过65%。相关法律法规对供应商报价有规定的，从其规定。）</w:t>
      </w:r>
    </w:p>
    <w:p w14:paraId="44B7A26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（二）启动异常低价投标（响应）审查后，属于前述第1 项至第4 项情形的，谈判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项情形，供应商已随投标（响应）文件一并提交相关书面说明及必要的证明材料的，在评审时可不再重复提交。</w:t>
      </w:r>
    </w:p>
    <w:p w14:paraId="5199859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谈判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谈判小组应当将其作为无效投标（响应）处理。</w:t>
      </w:r>
    </w:p>
    <w:p w14:paraId="41A95AB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45EA394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异常低价投标（响应）审查的启动原因、审查意见和审查结果应当在评审报告中记录，并随供应商提供的相关书面说明及证明材料，以及谈判小组有关互联网浏览、查询历史一并归档。</w:t>
      </w:r>
    </w:p>
    <w:p w14:paraId="7242A06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6.1.15其他法律、法规及本谈判文件规定的属无效响应的情形。</w:t>
      </w:r>
    </w:p>
    <w:p w14:paraId="12343138">
      <w:pPr>
        <w:pageBreakBefore w:val="0"/>
        <w:widowControl w:val="0"/>
        <w:tabs>
          <w:tab w:val="left" w:pos="6555"/>
          <w:tab w:val="right" w:pos="8306"/>
        </w:tabs>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6.2出现下列情形之一的，谈判失败。</w:t>
      </w:r>
    </w:p>
    <w:p w14:paraId="27F22F2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14:paraId="17E4EA3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6.2.2出现影响采购公正的违法违规行为的；</w:t>
      </w:r>
    </w:p>
    <w:p w14:paraId="31987E0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6.2.3因重大变故，采购任务取消的。</w:t>
      </w:r>
    </w:p>
    <w:p w14:paraId="4316E27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6.2.4谈判小组认定谈判文件存在歧义、重大缺陷导致评审工作无法进行。</w:t>
      </w:r>
    </w:p>
    <w:p w14:paraId="12A2320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6.3 响应</w:t>
      </w:r>
      <w:r>
        <w:rPr>
          <w:rFonts w:hint="eastAsia" w:ascii="宋体" w:hAnsi="宋体" w:eastAsia="宋体" w:cs="宋体"/>
          <w:sz w:val="28"/>
          <w:szCs w:val="28"/>
          <w:highlight w:val="none"/>
        </w:rPr>
        <w:t>文件提交</w:t>
      </w:r>
      <w:r>
        <w:rPr>
          <w:rFonts w:hint="eastAsia" w:ascii="宋体" w:hAnsi="宋体" w:eastAsia="宋体" w:cs="宋体"/>
          <w:bCs/>
          <w:sz w:val="28"/>
          <w:szCs w:val="28"/>
          <w:highlight w:val="none"/>
        </w:rPr>
        <w:t>截止时间结束后参加谈判的供应商不足三家的处理：</w:t>
      </w:r>
    </w:p>
    <w:p w14:paraId="560A001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6.3.1如出现响应</w:t>
      </w:r>
      <w:r>
        <w:rPr>
          <w:rFonts w:hint="eastAsia" w:ascii="宋体" w:hAnsi="宋体" w:eastAsia="宋体" w:cs="宋体"/>
          <w:sz w:val="28"/>
          <w:szCs w:val="28"/>
          <w:highlight w:val="none"/>
        </w:rPr>
        <w:t>文件提交</w:t>
      </w:r>
      <w:r>
        <w:rPr>
          <w:rFonts w:hint="eastAsia" w:ascii="宋体" w:hAnsi="宋体" w:eastAsia="宋体" w:cs="宋体"/>
          <w:bCs/>
          <w:sz w:val="28"/>
          <w:szCs w:val="28"/>
          <w:highlight w:val="none"/>
        </w:rPr>
        <w:t>截止时间结束后参加谈判的供应商或者在评审期间对谈判文件做出实质响应的供应商不足三家情况，按政府采购相关规定执行。</w:t>
      </w:r>
    </w:p>
    <w:bookmarkEnd w:id="75"/>
    <w:bookmarkEnd w:id="76"/>
    <w:bookmarkEnd w:id="77"/>
    <w:p w14:paraId="224E8B70">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78" w:name="_Toc120614219"/>
      <w:r>
        <w:rPr>
          <w:rFonts w:hint="eastAsia" w:ascii="宋体" w:hAnsi="宋体" w:eastAsia="宋体" w:cs="宋体"/>
          <w:b/>
          <w:bCs/>
          <w:kern w:val="0"/>
          <w:sz w:val="28"/>
          <w:szCs w:val="28"/>
          <w:highlight w:val="none"/>
        </w:rPr>
        <w:t>（六）</w:t>
      </w:r>
      <w:bookmarkEnd w:id="78"/>
      <w:r>
        <w:rPr>
          <w:rFonts w:hint="eastAsia" w:ascii="宋体" w:hAnsi="宋体" w:eastAsia="宋体" w:cs="宋体"/>
          <w:b/>
          <w:bCs/>
          <w:kern w:val="0"/>
          <w:sz w:val="28"/>
          <w:szCs w:val="28"/>
          <w:highlight w:val="none"/>
        </w:rPr>
        <w:t>成交</w:t>
      </w:r>
    </w:p>
    <w:p w14:paraId="73D6B282">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bookmarkStart w:id="79" w:name="_Toc20823310"/>
      <w:bookmarkStart w:id="80" w:name="_Toc16938554"/>
      <w:r>
        <w:rPr>
          <w:rFonts w:hint="eastAsia" w:ascii="宋体" w:hAnsi="宋体" w:eastAsia="宋体" w:cs="宋体"/>
          <w:kern w:val="0"/>
          <w:sz w:val="28"/>
          <w:szCs w:val="28"/>
          <w:highlight w:val="none"/>
        </w:rPr>
        <w:t>1.确定</w:t>
      </w:r>
      <w:bookmarkEnd w:id="79"/>
      <w:bookmarkEnd w:id="80"/>
      <w:r>
        <w:rPr>
          <w:rFonts w:hint="eastAsia" w:ascii="宋体" w:hAnsi="宋体" w:eastAsia="宋体" w:cs="宋体"/>
          <w:kern w:val="0"/>
          <w:sz w:val="28"/>
          <w:szCs w:val="28"/>
          <w:highlight w:val="none"/>
        </w:rPr>
        <w:t>成交单位</w:t>
      </w:r>
    </w:p>
    <w:p w14:paraId="20836ED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1.1成交候选供应商的选取原则和数量见谈判文件第四部分规定。 </w:t>
      </w:r>
    </w:p>
    <w:p w14:paraId="0C9BDE4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1.2采购人从评审报告提出的成交候选供应商中，根据质量和服务均能满足采购文件实质性响应要求且最后报价最低的原则确定成交供应商。</w:t>
      </w:r>
    </w:p>
    <w:p w14:paraId="0BF835D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sz w:val="28"/>
          <w:szCs w:val="28"/>
          <w:highlight w:val="none"/>
        </w:rPr>
        <w:t xml:space="preserve">1.3 </w:t>
      </w:r>
      <w:r>
        <w:rPr>
          <w:rFonts w:hint="eastAsia" w:ascii="宋体" w:hAnsi="宋体" w:eastAsia="宋体" w:cs="宋体"/>
          <w:sz w:val="28"/>
          <w:szCs w:val="28"/>
          <w:highlight w:val="none"/>
        </w:rPr>
        <w:t>采购人将在“</w:t>
      </w:r>
      <w:r>
        <w:rPr>
          <w:rFonts w:hint="eastAsia" w:ascii="宋体" w:hAnsi="宋体" w:cs="宋体"/>
          <w:sz w:val="28"/>
          <w:szCs w:val="28"/>
          <w:highlight w:val="none"/>
          <w:lang w:eastAsia="zh-CN"/>
        </w:rPr>
        <w:t>启东市自来水厂有限公司</w:t>
      </w:r>
      <w:r>
        <w:rPr>
          <w:rFonts w:hint="eastAsia" w:ascii="宋体" w:hAnsi="宋体" w:eastAsia="宋体" w:cs="宋体"/>
          <w:sz w:val="28"/>
          <w:szCs w:val="28"/>
          <w:highlight w:val="none"/>
        </w:rPr>
        <w:t>网”发布成交结果公告，公告期限为1个工作日。</w:t>
      </w:r>
    </w:p>
    <w:p w14:paraId="5E05CB1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  若有充分证据证明，成交供应商出现下列情况之一的，一经查实，将被取消成交资格：</w:t>
      </w:r>
    </w:p>
    <w:p w14:paraId="6A89880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1.4.1提供虚假材料谋取成交的。</w:t>
      </w:r>
    </w:p>
    <w:p w14:paraId="4DFC0F5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1.4.2向采购人行贿或者评审专家提供其他不正当利益的。</w:t>
      </w:r>
    </w:p>
    <w:p w14:paraId="1E347BD3">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1.4.3恶意竞争，最终报价明显低于其自身合理成本且又无法提供证明的。</w:t>
      </w:r>
    </w:p>
    <w:p w14:paraId="47FD7442">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1.4.4属于本文件规定的无效条件，但在评审过程中又未被谈判小组会发现的。</w:t>
      </w:r>
    </w:p>
    <w:p w14:paraId="5C1EA77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1.4.5与采购人或者其他供应商恶意串通的。</w:t>
      </w:r>
    </w:p>
    <w:p w14:paraId="13C81F1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1.4.6采取不正当手段诋毁、排挤其他供应商的。</w:t>
      </w:r>
    </w:p>
    <w:p w14:paraId="27C5773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bookmarkStart w:id="81" w:name="_Toc200451960"/>
      <w:r>
        <w:rPr>
          <w:rFonts w:hint="eastAsia" w:ascii="宋体" w:hAnsi="宋体" w:eastAsia="宋体" w:cs="宋体"/>
          <w:sz w:val="28"/>
          <w:szCs w:val="28"/>
          <w:highlight w:val="none"/>
        </w:rPr>
        <w:t>1.5.</w:t>
      </w:r>
      <w:r>
        <w:rPr>
          <w:rFonts w:hint="eastAsia" w:ascii="宋体" w:hAnsi="宋体" w:eastAsia="宋体" w:cs="宋体"/>
          <w:kern w:val="0"/>
          <w:sz w:val="28"/>
          <w:szCs w:val="28"/>
          <w:highlight w:val="none"/>
        </w:rPr>
        <w:t>有下列情形之一的，视为供应商串通参与谈判，响应无效：</w:t>
      </w:r>
    </w:p>
    <w:p w14:paraId="1D5A41B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1.5.1不同供应商的响应文件由同一单位或者个人编制；</w:t>
      </w:r>
    </w:p>
    <w:p w14:paraId="4C656B4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1.5.2不同供应商委托同一单位或者个人办理</w:t>
      </w:r>
      <w:r>
        <w:rPr>
          <w:rFonts w:hint="eastAsia" w:ascii="宋体" w:hAnsi="宋体" w:eastAsia="宋体" w:cs="宋体"/>
          <w:kern w:val="0"/>
          <w:sz w:val="28"/>
          <w:szCs w:val="28"/>
          <w:highlight w:val="none"/>
        </w:rPr>
        <w:t>谈判</w:t>
      </w:r>
      <w:r>
        <w:rPr>
          <w:rFonts w:hint="eastAsia" w:ascii="宋体" w:hAnsi="宋体" w:eastAsia="宋体" w:cs="宋体"/>
          <w:sz w:val="28"/>
          <w:szCs w:val="28"/>
          <w:highlight w:val="none"/>
        </w:rPr>
        <w:t>事宜；</w:t>
      </w:r>
    </w:p>
    <w:p w14:paraId="6BB9B8E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1.5.3不同供应商的响应文件载明的项目管理成员或者联系人员为同一人；</w:t>
      </w:r>
    </w:p>
    <w:p w14:paraId="1284C4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1.5.4不同供应商的响应文件异常一致或者响应报价呈规律性差异。</w:t>
      </w:r>
    </w:p>
    <w:p w14:paraId="0D0339B3">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r>
        <w:rPr>
          <w:rFonts w:hint="eastAsia" w:ascii="宋体" w:hAnsi="宋体" w:eastAsia="宋体" w:cs="宋体"/>
          <w:kern w:val="0"/>
          <w:sz w:val="28"/>
          <w:szCs w:val="28"/>
          <w:highlight w:val="none"/>
        </w:rPr>
        <w:t>2.质疑处理</w:t>
      </w:r>
      <w:bookmarkEnd w:id="81"/>
    </w:p>
    <w:p w14:paraId="34960F4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 提出质疑的供应商应当是参与所质疑项目采购活动的供应商。潜在供应商依法获取其可质疑的谈判文件的，可以对谈判文件提出质疑。</w:t>
      </w:r>
    </w:p>
    <w:p w14:paraId="50FA265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2.2供应商认为谈判文件、采购过程和采购结果使自己的权益受到损害的，可以在知道或应知其权益受到损害之日起七个工作日内，以书面形式向采购人提出质疑。上述应知其权益受到损害之日，是指：</w:t>
      </w:r>
    </w:p>
    <w:p w14:paraId="0A4C5D8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2.2.1</w:t>
      </w:r>
      <w:r>
        <w:rPr>
          <w:rFonts w:hint="eastAsia" w:ascii="宋体" w:hAnsi="宋体" w:eastAsia="宋体" w:cs="宋体"/>
          <w:kern w:val="0"/>
          <w:sz w:val="28"/>
          <w:szCs w:val="28"/>
          <w:highlight w:val="none"/>
        </w:rPr>
        <w:t>对可以质疑的谈判文件提出质疑的，为收到谈判文件之日或者谈判文件公告期限届满之日；</w:t>
      </w:r>
    </w:p>
    <w:p w14:paraId="7737F96B">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2.2.2</w:t>
      </w:r>
      <w:r>
        <w:rPr>
          <w:rFonts w:hint="eastAsia" w:ascii="宋体" w:hAnsi="宋体" w:eastAsia="宋体" w:cs="宋体"/>
          <w:kern w:val="0"/>
          <w:sz w:val="28"/>
          <w:szCs w:val="28"/>
          <w:highlight w:val="none"/>
        </w:rPr>
        <w:t>对采购过程提出质疑的，为各采购程序环节结束之日；</w:t>
      </w:r>
    </w:p>
    <w:p w14:paraId="740CAE3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sz w:val="28"/>
          <w:szCs w:val="28"/>
          <w:highlight w:val="none"/>
        </w:rPr>
        <w:t>2.2.3</w:t>
      </w:r>
      <w:r>
        <w:rPr>
          <w:rFonts w:hint="eastAsia" w:ascii="宋体" w:hAnsi="宋体" w:eastAsia="宋体" w:cs="宋体"/>
          <w:kern w:val="0"/>
          <w:sz w:val="28"/>
          <w:szCs w:val="28"/>
          <w:highlight w:val="none"/>
        </w:rPr>
        <w:t>对成交结果提出质疑的，为成交结果公告期限届满之日。</w:t>
      </w:r>
    </w:p>
    <w:p w14:paraId="4655E217">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供应商应当在法定质疑期内一次性提出针对同一采购程序环节的质疑。</w:t>
      </w:r>
    </w:p>
    <w:p w14:paraId="3BCB9355">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2.3质疑函必须按照本谈判文件中《质疑函范本》要求的格式和内容进行填写。供应商如组成联合体参加谈判，则《质疑函范本》中要求签字、盖章、加盖公章之处，联合体各方均须按要求签字、盖章、加盖公章。</w:t>
      </w:r>
    </w:p>
    <w:p w14:paraId="73F267E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2.4对采购方式、谈判文件中项目需求、供应商资格条件、评审方法和评审标准、资格审查结果等应当由采购人答复的质疑，请向采购人提出，由采购人负责答复。</w:t>
      </w:r>
    </w:p>
    <w:p w14:paraId="79B6708A">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为方便供应商提起质疑，供应商可通过邮寄方式向采购人提交以书面形式的质疑。</w:t>
      </w:r>
    </w:p>
    <w:p w14:paraId="2001FC40">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采购人质疑接收人及联系方式，见谈判文件第一部分。</w:t>
      </w:r>
    </w:p>
    <w:p w14:paraId="32F84A3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 以下情形的质疑不予受理</w:t>
      </w:r>
    </w:p>
    <w:p w14:paraId="17657C2D">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2.5.1 内容不符合《政府采购质疑和投诉办法》第十二条规定的质疑。</w:t>
      </w:r>
    </w:p>
    <w:p w14:paraId="20BC0CC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2.5.2 超出政府采购法定期限的质疑。</w:t>
      </w:r>
    </w:p>
    <w:p w14:paraId="3709C8F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2.5.3 未参加谈判活动的供应商或在谈判活动中自身权益未受到损害的供应商所提出的质疑。</w:t>
      </w:r>
    </w:p>
    <w:p w14:paraId="61DD1F7E">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2.5.4供应商组成联合体参加谈判，联合体中任何一方或多方未按要求签字、盖章、加盖公章的质疑。</w:t>
      </w:r>
    </w:p>
    <w:p w14:paraId="4114655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B3E38DF">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r>
        <w:rPr>
          <w:rFonts w:hint="eastAsia" w:ascii="宋体" w:hAnsi="宋体" w:eastAsia="宋体" w:cs="宋体"/>
          <w:kern w:val="0"/>
          <w:sz w:val="28"/>
          <w:szCs w:val="28"/>
          <w:highlight w:val="none"/>
        </w:rPr>
        <w:t>3．成交通知书</w:t>
      </w:r>
    </w:p>
    <w:p w14:paraId="5D761E2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3.l成交结果确定后，</w:t>
      </w:r>
      <w:r>
        <w:rPr>
          <w:rFonts w:hint="eastAsia" w:ascii="宋体" w:hAnsi="宋体" w:eastAsia="宋体" w:cs="宋体"/>
          <w:bCs/>
          <w:sz w:val="28"/>
          <w:szCs w:val="28"/>
          <w:highlight w:val="none"/>
        </w:rPr>
        <w:t>采购人</w:t>
      </w:r>
      <w:r>
        <w:rPr>
          <w:rFonts w:hint="eastAsia" w:ascii="宋体" w:hAnsi="宋体" w:eastAsia="宋体" w:cs="宋体"/>
          <w:sz w:val="28"/>
          <w:szCs w:val="28"/>
          <w:highlight w:val="none"/>
        </w:rPr>
        <w:t>将向成交供应商发出成交通知书</w:t>
      </w:r>
      <w:r>
        <w:rPr>
          <w:rFonts w:hint="eastAsia" w:ascii="宋体" w:hAnsi="宋体" w:eastAsia="宋体" w:cs="宋体"/>
          <w:bCs/>
          <w:sz w:val="28"/>
          <w:szCs w:val="28"/>
          <w:highlight w:val="none"/>
        </w:rPr>
        <w:t>（详见谈判文件第四部分）</w:t>
      </w:r>
      <w:r>
        <w:rPr>
          <w:rFonts w:hint="eastAsia" w:ascii="宋体" w:hAnsi="宋体" w:eastAsia="宋体" w:cs="宋体"/>
          <w:sz w:val="28"/>
          <w:szCs w:val="28"/>
          <w:highlight w:val="none"/>
        </w:rPr>
        <w:t>。</w:t>
      </w:r>
    </w:p>
    <w:p w14:paraId="76DA6D3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3.2成交通知书将是合同的一个组成部分。对采购人和成交供应商均具有法律效力。成交通知书发出后，采购人改变成交结果的，或者成交供应商放弃谈判项目的，应当依法承担法律责任。</w:t>
      </w:r>
    </w:p>
    <w:p w14:paraId="7AFE1DA7">
      <w:pPr>
        <w:keepNext/>
        <w:keepLines/>
        <w:pageBreakBefore w:val="0"/>
        <w:widowControl w:val="0"/>
        <w:kinsoku/>
        <w:wordWrap/>
        <w:overflowPunct/>
        <w:topLinePunct w:val="0"/>
        <w:autoSpaceDE/>
        <w:autoSpaceDN/>
        <w:bidi w:val="0"/>
        <w:adjustRightInd w:val="0"/>
        <w:snapToGrid w:val="0"/>
        <w:spacing w:line="500" w:lineRule="exact"/>
        <w:ind w:firstLine="562" w:firstLineChars="200"/>
        <w:textAlignment w:val="auto"/>
        <w:outlineLvl w:val="2"/>
        <w:rPr>
          <w:rFonts w:hint="eastAsia" w:ascii="宋体" w:hAnsi="宋体" w:eastAsia="宋体" w:cs="宋体"/>
          <w:b/>
          <w:bCs/>
          <w:kern w:val="0"/>
          <w:sz w:val="28"/>
          <w:szCs w:val="28"/>
          <w:highlight w:val="none"/>
        </w:rPr>
      </w:pPr>
      <w:bookmarkStart w:id="82" w:name="_Toc120614220"/>
      <w:bookmarkStart w:id="83" w:name="_Toc513029236"/>
      <w:bookmarkStart w:id="84" w:name="_Toc16938552"/>
      <w:bookmarkStart w:id="85" w:name="_Toc20823308"/>
      <w:r>
        <w:rPr>
          <w:rFonts w:hint="eastAsia" w:ascii="宋体" w:hAnsi="宋体" w:eastAsia="宋体" w:cs="宋体"/>
          <w:b/>
          <w:bCs/>
          <w:kern w:val="0"/>
          <w:sz w:val="28"/>
          <w:szCs w:val="28"/>
          <w:highlight w:val="none"/>
        </w:rPr>
        <w:t>（七）授予合同</w:t>
      </w:r>
      <w:bookmarkEnd w:id="82"/>
    </w:p>
    <w:bookmarkEnd w:id="83"/>
    <w:bookmarkEnd w:id="84"/>
    <w:bookmarkEnd w:id="85"/>
    <w:p w14:paraId="519AAC5C">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bookmarkStart w:id="86" w:name="_Toc20823309"/>
      <w:bookmarkStart w:id="87" w:name="_Toc513029237"/>
      <w:bookmarkStart w:id="88" w:name="_Toc16938553"/>
      <w:r>
        <w:rPr>
          <w:rFonts w:hint="eastAsia" w:ascii="宋体" w:hAnsi="宋体" w:eastAsia="宋体" w:cs="宋体"/>
          <w:kern w:val="0"/>
          <w:sz w:val="28"/>
          <w:szCs w:val="28"/>
          <w:highlight w:val="none"/>
        </w:rPr>
        <w:t>1.签订合同</w:t>
      </w:r>
    </w:p>
    <w:p w14:paraId="7C38EE6F">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1</w:t>
      </w:r>
      <w:r>
        <w:rPr>
          <w:rFonts w:hint="eastAsia" w:ascii="宋体" w:hAnsi="宋体" w:eastAsia="宋体" w:cs="宋体"/>
          <w:kern w:val="0"/>
          <w:sz w:val="28"/>
          <w:szCs w:val="28"/>
          <w:highlight w:val="none"/>
        </w:rPr>
        <w:t>成交供</w:t>
      </w:r>
      <w:r>
        <w:rPr>
          <w:rFonts w:hint="eastAsia" w:ascii="宋体" w:hAnsi="宋体" w:eastAsia="宋体" w:cs="宋体"/>
          <w:sz w:val="28"/>
          <w:szCs w:val="28"/>
          <w:highlight w:val="none"/>
        </w:rPr>
        <w:t>应商应当在成交通知书发出之日起三十日内，按照谈判文件确定的事项与采购人签订政府采购合同。</w:t>
      </w:r>
    </w:p>
    <w:p w14:paraId="4BCA0601">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1.2谈判文件、成交供应商的响应文件及谈判过程中有关澄清、承诺文件均应作为合同附件。</w:t>
      </w:r>
    </w:p>
    <w:p w14:paraId="055A1B8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4DCF30D1">
      <w:pPr>
        <w:keepNext/>
        <w:pageBreakBefore w:val="0"/>
        <w:widowControl w:val="0"/>
        <w:kinsoku/>
        <w:wordWrap/>
        <w:overflowPunct/>
        <w:topLinePunct w:val="0"/>
        <w:autoSpaceDE/>
        <w:autoSpaceDN/>
        <w:bidi w:val="0"/>
        <w:adjustRightInd w:val="0"/>
        <w:snapToGrid w:val="0"/>
        <w:spacing w:line="500" w:lineRule="exact"/>
        <w:ind w:firstLine="560" w:firstLineChars="200"/>
        <w:textAlignment w:val="auto"/>
        <w:outlineLvl w:val="3"/>
        <w:rPr>
          <w:rFonts w:hint="eastAsia" w:ascii="宋体" w:hAnsi="宋体" w:eastAsia="宋体" w:cs="宋体"/>
          <w:b/>
          <w:kern w:val="0"/>
          <w:sz w:val="28"/>
          <w:szCs w:val="28"/>
          <w:highlight w:val="none"/>
        </w:rPr>
      </w:pPr>
      <w:r>
        <w:rPr>
          <w:rFonts w:hint="eastAsia" w:ascii="宋体" w:hAnsi="宋体" w:eastAsia="宋体" w:cs="宋体"/>
          <w:kern w:val="0"/>
          <w:sz w:val="28"/>
          <w:szCs w:val="28"/>
          <w:highlight w:val="none"/>
        </w:rPr>
        <w:t>2.货物和服务的追加、减少和添购。</w:t>
      </w:r>
    </w:p>
    <w:p w14:paraId="641A016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0DAA02B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sz w:val="28"/>
          <w:szCs w:val="28"/>
          <w:highlight w:val="none"/>
        </w:rPr>
      </w:pPr>
      <w:r>
        <w:rPr>
          <w:rFonts w:hint="eastAsia" w:ascii="宋体" w:hAnsi="宋体" w:eastAsia="宋体" w:cs="宋体"/>
          <w:sz w:val="28"/>
          <w:szCs w:val="28"/>
          <w:highlight w:val="none"/>
        </w:rPr>
        <w:t>2.2采购结束后，采购人若由于各种客观原因，必须对采购项目所牵涉的货物和服务进行适当的减少时，在双方协商一致的前提下，可以按照采购时的价格水平做相应的调减，并据此签订补充合同。</w:t>
      </w:r>
    </w:p>
    <w:bookmarkEnd w:id="86"/>
    <w:bookmarkEnd w:id="87"/>
    <w:bookmarkEnd w:id="88"/>
    <w:p w14:paraId="674FAEC9">
      <w:pPr>
        <w:adjustRightInd w:val="0"/>
        <w:snapToGrid w:val="0"/>
        <w:spacing w:line="500" w:lineRule="exact"/>
        <w:jc w:val="center"/>
        <w:outlineLvl w:val="0"/>
        <w:rPr>
          <w:rFonts w:hint="eastAsia" w:ascii="宋体" w:hAnsi="宋体" w:cs="宋体"/>
          <w:bCs/>
          <w:sz w:val="36"/>
          <w:szCs w:val="36"/>
          <w:highlight w:val="none"/>
        </w:rPr>
      </w:pPr>
    </w:p>
    <w:p w14:paraId="0EE468EB">
      <w:pPr>
        <w:adjustRightInd w:val="0"/>
        <w:snapToGrid w:val="0"/>
        <w:spacing w:line="500" w:lineRule="exact"/>
        <w:jc w:val="center"/>
        <w:outlineLvl w:val="0"/>
        <w:rPr>
          <w:rFonts w:hint="eastAsia" w:ascii="宋体" w:hAnsi="宋体" w:cs="宋体"/>
          <w:bCs/>
          <w:sz w:val="36"/>
          <w:szCs w:val="36"/>
          <w:highlight w:val="none"/>
        </w:rPr>
      </w:pPr>
    </w:p>
    <w:p w14:paraId="020E828E">
      <w:pPr>
        <w:adjustRightInd w:val="0"/>
        <w:snapToGrid w:val="0"/>
        <w:spacing w:line="500" w:lineRule="exact"/>
        <w:jc w:val="center"/>
        <w:outlineLvl w:val="0"/>
        <w:rPr>
          <w:rFonts w:hint="eastAsia" w:ascii="宋体" w:hAnsi="宋体" w:cs="宋体"/>
          <w:bCs/>
          <w:sz w:val="36"/>
          <w:szCs w:val="36"/>
          <w:highlight w:val="none"/>
        </w:rPr>
      </w:pPr>
      <w:r>
        <w:rPr>
          <w:rFonts w:hint="eastAsia" w:ascii="宋体" w:hAnsi="宋体" w:cs="宋体"/>
          <w:bCs/>
          <w:sz w:val="36"/>
          <w:szCs w:val="36"/>
          <w:highlight w:val="none"/>
        </w:rPr>
        <w:br w:type="page"/>
      </w:r>
      <w:r>
        <w:rPr>
          <w:rFonts w:hint="eastAsia" w:ascii="宋体" w:hAnsi="宋体" w:cs="宋体"/>
          <w:bCs/>
          <w:sz w:val="36"/>
          <w:szCs w:val="36"/>
          <w:highlight w:val="none"/>
        </w:rPr>
        <w:t>第三部分 项目需求</w:t>
      </w:r>
    </w:p>
    <w:p w14:paraId="1BC4845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p>
    <w:p w14:paraId="7197DE85">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一、项目需求</w:t>
      </w:r>
    </w:p>
    <w:p w14:paraId="60B8D27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（一）采购货物清单：</w:t>
      </w:r>
    </w:p>
    <w:tbl>
      <w:tblPr>
        <w:tblStyle w:val="23"/>
        <w:tblW w:w="5554" w:type="pct"/>
        <w:tblInd w:w="-472" w:type="dxa"/>
        <w:tblLayout w:type="fixed"/>
        <w:tblCellMar>
          <w:top w:w="0" w:type="dxa"/>
          <w:left w:w="108" w:type="dxa"/>
          <w:bottom w:w="0" w:type="dxa"/>
          <w:right w:w="108" w:type="dxa"/>
        </w:tblCellMar>
      </w:tblPr>
      <w:tblGrid>
        <w:gridCol w:w="753"/>
        <w:gridCol w:w="1000"/>
        <w:gridCol w:w="2076"/>
        <w:gridCol w:w="1123"/>
        <w:gridCol w:w="3398"/>
        <w:gridCol w:w="1968"/>
      </w:tblGrid>
      <w:tr w14:paraId="0A6D0276">
        <w:tblPrEx>
          <w:tblCellMar>
            <w:top w:w="0" w:type="dxa"/>
            <w:left w:w="108" w:type="dxa"/>
            <w:bottom w:w="0" w:type="dxa"/>
            <w:right w:w="108" w:type="dxa"/>
          </w:tblCellMar>
        </w:tblPrEx>
        <w:trPr>
          <w:trHeight w:val="459" w:hRule="atLeast"/>
        </w:trPr>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BA8E7">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484" w:type="pct"/>
            <w:tcBorders>
              <w:top w:val="single" w:color="auto" w:sz="4" w:space="0"/>
              <w:left w:val="nil"/>
              <w:bottom w:val="single" w:color="auto" w:sz="4" w:space="0"/>
              <w:right w:val="single" w:color="auto" w:sz="4" w:space="0"/>
            </w:tcBorders>
            <w:shd w:val="clear" w:color="auto" w:fill="auto"/>
            <w:noWrap/>
            <w:vAlign w:val="center"/>
          </w:tcPr>
          <w:p w14:paraId="6A8E23D0">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车型</w:t>
            </w:r>
          </w:p>
        </w:tc>
        <w:tc>
          <w:tcPr>
            <w:tcW w:w="1005" w:type="pct"/>
            <w:tcBorders>
              <w:top w:val="single" w:color="auto" w:sz="4" w:space="0"/>
              <w:left w:val="nil"/>
              <w:bottom w:val="single" w:color="auto" w:sz="4" w:space="0"/>
              <w:right w:val="single" w:color="auto" w:sz="4" w:space="0"/>
            </w:tcBorders>
            <w:shd w:val="clear" w:color="auto" w:fill="auto"/>
            <w:noWrap/>
            <w:vAlign w:val="center"/>
          </w:tcPr>
          <w:p w14:paraId="00ADA317">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型号</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6712A21E">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单位</w:t>
            </w:r>
          </w:p>
        </w:tc>
        <w:tc>
          <w:tcPr>
            <w:tcW w:w="1646" w:type="pct"/>
            <w:tcBorders>
              <w:top w:val="single" w:color="auto" w:sz="4" w:space="0"/>
              <w:left w:val="nil"/>
              <w:bottom w:val="single" w:color="auto" w:sz="4" w:space="0"/>
              <w:right w:val="single" w:color="auto" w:sz="4" w:space="0"/>
            </w:tcBorders>
            <w:shd w:val="clear" w:color="auto" w:fill="auto"/>
            <w:noWrap/>
            <w:vAlign w:val="center"/>
          </w:tcPr>
          <w:p w14:paraId="5BBB0C19">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i w:val="0"/>
                <w:iCs w:val="0"/>
                <w:color w:val="000000"/>
                <w:kern w:val="0"/>
                <w:sz w:val="24"/>
                <w:szCs w:val="24"/>
                <w:u w:val="none"/>
                <w:lang w:val="en-US" w:eastAsia="zh-CN" w:bidi="ar"/>
              </w:rPr>
              <w:t>分项</w:t>
            </w:r>
            <w:r>
              <w:rPr>
                <w:rFonts w:hint="eastAsia" w:ascii="仿宋" w:hAnsi="仿宋" w:eastAsia="仿宋" w:cs="仿宋"/>
                <w:b/>
                <w:bCs/>
                <w:color w:val="000000"/>
                <w:kern w:val="0"/>
                <w:sz w:val="24"/>
                <w:highlight w:val="none"/>
                <w:lang w:val="en-US" w:eastAsia="zh-CN"/>
              </w:rPr>
              <w:t>综合单价最高限价</w:t>
            </w:r>
            <w:r>
              <w:rPr>
                <w:rFonts w:hint="eastAsia" w:ascii="仿宋" w:hAnsi="仿宋" w:eastAsia="仿宋" w:cs="仿宋"/>
                <w:b/>
                <w:bCs/>
                <w:color w:val="000000"/>
                <w:kern w:val="0"/>
                <w:sz w:val="24"/>
                <w:highlight w:val="none"/>
              </w:rPr>
              <w:t>（元）</w:t>
            </w:r>
          </w:p>
        </w:tc>
        <w:tc>
          <w:tcPr>
            <w:tcW w:w="953" w:type="pct"/>
            <w:tcBorders>
              <w:top w:val="single" w:color="auto" w:sz="4" w:space="0"/>
              <w:left w:val="nil"/>
              <w:bottom w:val="single" w:color="auto" w:sz="4" w:space="0"/>
              <w:right w:val="single" w:color="auto" w:sz="4" w:space="0"/>
            </w:tcBorders>
            <w:shd w:val="clear" w:color="auto" w:fill="auto"/>
            <w:noWrap/>
            <w:vAlign w:val="center"/>
          </w:tcPr>
          <w:p w14:paraId="5CFF2F51">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备注</w:t>
            </w:r>
          </w:p>
        </w:tc>
      </w:tr>
      <w:tr w14:paraId="3D794596">
        <w:tblPrEx>
          <w:tblCellMar>
            <w:top w:w="0" w:type="dxa"/>
            <w:left w:w="108" w:type="dxa"/>
            <w:bottom w:w="0" w:type="dxa"/>
            <w:right w:w="108" w:type="dxa"/>
          </w:tblCellMar>
        </w:tblPrEx>
        <w:trPr>
          <w:trHeight w:val="283" w:hRule="atLeast"/>
        </w:trPr>
        <w:tc>
          <w:tcPr>
            <w:tcW w:w="365" w:type="pct"/>
            <w:vMerge w:val="restart"/>
            <w:tcBorders>
              <w:top w:val="nil"/>
              <w:left w:val="single" w:color="auto" w:sz="4" w:space="0"/>
              <w:bottom w:val="single" w:color="000000" w:sz="4" w:space="0"/>
              <w:right w:val="single" w:color="auto" w:sz="4" w:space="0"/>
            </w:tcBorders>
            <w:shd w:val="clear" w:color="auto" w:fill="auto"/>
            <w:noWrap/>
            <w:vAlign w:val="center"/>
          </w:tcPr>
          <w:p w14:paraId="2B801B2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484" w:type="pct"/>
            <w:vMerge w:val="restart"/>
            <w:tcBorders>
              <w:top w:val="nil"/>
              <w:left w:val="single" w:color="auto" w:sz="4" w:space="0"/>
              <w:bottom w:val="single" w:color="000000" w:sz="4" w:space="0"/>
              <w:right w:val="single" w:color="auto" w:sz="4" w:space="0"/>
            </w:tcBorders>
            <w:shd w:val="clear" w:color="auto" w:fill="auto"/>
            <w:noWrap/>
            <w:vAlign w:val="center"/>
          </w:tcPr>
          <w:p w14:paraId="76B18B7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随车吊</w:t>
            </w:r>
          </w:p>
        </w:tc>
        <w:tc>
          <w:tcPr>
            <w:tcW w:w="1005" w:type="pct"/>
            <w:vMerge w:val="restart"/>
            <w:tcBorders>
              <w:top w:val="nil"/>
              <w:left w:val="single" w:color="auto" w:sz="4" w:space="0"/>
              <w:bottom w:val="single" w:color="000000" w:sz="4" w:space="0"/>
              <w:right w:val="single" w:color="auto" w:sz="4" w:space="0"/>
            </w:tcBorders>
            <w:shd w:val="clear" w:color="auto" w:fill="auto"/>
            <w:noWrap/>
            <w:vAlign w:val="center"/>
          </w:tcPr>
          <w:p w14:paraId="66F2699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9米</w:t>
            </w:r>
          </w:p>
        </w:tc>
        <w:tc>
          <w:tcPr>
            <w:tcW w:w="543" w:type="pct"/>
            <w:tcBorders>
              <w:top w:val="nil"/>
              <w:left w:val="nil"/>
              <w:bottom w:val="single" w:color="auto" w:sz="4" w:space="0"/>
              <w:right w:val="single" w:color="auto" w:sz="4" w:space="0"/>
            </w:tcBorders>
            <w:shd w:val="clear" w:color="auto" w:fill="auto"/>
            <w:noWrap/>
            <w:vAlign w:val="center"/>
          </w:tcPr>
          <w:p w14:paraId="7BC7BD5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1646" w:type="pct"/>
            <w:tcBorders>
              <w:top w:val="nil"/>
              <w:left w:val="nil"/>
              <w:bottom w:val="single" w:color="auto" w:sz="4" w:space="0"/>
              <w:right w:val="single" w:color="auto" w:sz="4" w:space="0"/>
            </w:tcBorders>
            <w:shd w:val="clear" w:color="auto" w:fill="auto"/>
            <w:noWrap/>
            <w:vAlign w:val="center"/>
          </w:tcPr>
          <w:p w14:paraId="3873F39F">
            <w:pPr>
              <w:keepNext w:val="0"/>
              <w:keepLines w:val="0"/>
              <w:widowControl/>
              <w:suppressLineNumbers w:val="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i w:val="0"/>
                <w:iCs w:val="0"/>
                <w:color w:val="000000"/>
                <w:kern w:val="0"/>
                <w:sz w:val="24"/>
                <w:szCs w:val="24"/>
                <w:u w:val="none"/>
                <w:lang w:val="en-US" w:eastAsia="zh-CN" w:bidi="ar"/>
              </w:rPr>
              <w:t>580</w:t>
            </w:r>
          </w:p>
        </w:tc>
        <w:tc>
          <w:tcPr>
            <w:tcW w:w="953" w:type="pct"/>
            <w:tcBorders>
              <w:top w:val="nil"/>
              <w:left w:val="nil"/>
              <w:bottom w:val="single" w:color="auto" w:sz="4" w:space="0"/>
              <w:right w:val="single" w:color="auto" w:sz="4" w:space="0"/>
            </w:tcBorders>
            <w:shd w:val="clear" w:color="auto" w:fill="auto"/>
            <w:noWrap/>
            <w:vAlign w:val="center"/>
          </w:tcPr>
          <w:p w14:paraId="420A3A0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城区内</w:t>
            </w:r>
          </w:p>
        </w:tc>
      </w:tr>
      <w:tr w14:paraId="2056C5D6">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000000" w:sz="4" w:space="0"/>
              <w:right w:val="single" w:color="auto" w:sz="4" w:space="0"/>
            </w:tcBorders>
            <w:vAlign w:val="center"/>
          </w:tcPr>
          <w:p w14:paraId="7DE07CF2">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000000" w:sz="4" w:space="0"/>
              <w:right w:val="single" w:color="auto" w:sz="4" w:space="0"/>
            </w:tcBorders>
            <w:vAlign w:val="center"/>
          </w:tcPr>
          <w:p w14:paraId="5EC1C9AF">
            <w:pPr>
              <w:widowControl/>
              <w:jc w:val="left"/>
              <w:rPr>
                <w:rFonts w:hint="eastAsia" w:ascii="仿宋" w:hAnsi="仿宋" w:eastAsia="仿宋" w:cs="仿宋"/>
                <w:color w:val="000000"/>
                <w:kern w:val="0"/>
                <w:sz w:val="24"/>
                <w:highlight w:val="none"/>
              </w:rPr>
            </w:pPr>
          </w:p>
        </w:tc>
        <w:tc>
          <w:tcPr>
            <w:tcW w:w="1005" w:type="pct"/>
            <w:vMerge w:val="continue"/>
            <w:tcBorders>
              <w:top w:val="nil"/>
              <w:left w:val="single" w:color="auto" w:sz="4" w:space="0"/>
              <w:bottom w:val="single" w:color="000000" w:sz="4" w:space="0"/>
              <w:right w:val="single" w:color="auto" w:sz="4" w:space="0"/>
            </w:tcBorders>
            <w:vAlign w:val="center"/>
          </w:tcPr>
          <w:p w14:paraId="69CB9249">
            <w:pPr>
              <w:widowControl/>
              <w:jc w:val="left"/>
              <w:rPr>
                <w:rFonts w:hint="eastAsia" w:ascii="仿宋" w:hAnsi="仿宋" w:eastAsia="仿宋" w:cs="仿宋"/>
                <w:color w:val="000000"/>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35079E0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1646" w:type="pct"/>
            <w:tcBorders>
              <w:top w:val="nil"/>
              <w:left w:val="nil"/>
              <w:bottom w:val="single" w:color="auto" w:sz="4" w:space="0"/>
              <w:right w:val="single" w:color="auto" w:sz="4" w:space="0"/>
            </w:tcBorders>
            <w:shd w:val="clear" w:color="auto" w:fill="auto"/>
            <w:noWrap/>
            <w:vAlign w:val="center"/>
          </w:tcPr>
          <w:p w14:paraId="2E2451CB">
            <w:pPr>
              <w:keepNext w:val="0"/>
              <w:keepLines w:val="0"/>
              <w:widowControl/>
              <w:suppressLineNumbers w:val="0"/>
              <w:jc w:val="center"/>
              <w:textAlignment w:val="center"/>
              <w:rPr>
                <w:rFonts w:hint="eastAsia" w:ascii="仿宋" w:hAnsi="仿宋" w:eastAsia="仿宋" w:cs="仿宋"/>
                <w:color w:val="000000"/>
                <w:kern w:val="0"/>
                <w:sz w:val="24"/>
                <w:highlight w:val="none"/>
              </w:rPr>
            </w:pPr>
            <w:r>
              <w:rPr>
                <w:rFonts w:hint="eastAsia" w:ascii="仿宋" w:hAnsi="仿宋" w:eastAsia="仿宋" w:cs="仿宋"/>
                <w:i w:val="0"/>
                <w:iCs w:val="0"/>
                <w:color w:val="000000"/>
                <w:kern w:val="0"/>
                <w:sz w:val="24"/>
                <w:szCs w:val="24"/>
                <w:u w:val="none"/>
                <w:lang w:val="en-US" w:eastAsia="zh-CN" w:bidi="ar"/>
              </w:rPr>
              <w:t>780</w:t>
            </w:r>
          </w:p>
        </w:tc>
        <w:tc>
          <w:tcPr>
            <w:tcW w:w="953" w:type="pct"/>
            <w:tcBorders>
              <w:top w:val="nil"/>
              <w:left w:val="nil"/>
              <w:bottom w:val="single" w:color="auto" w:sz="4" w:space="0"/>
              <w:right w:val="single" w:color="auto" w:sz="4" w:space="0"/>
            </w:tcBorders>
            <w:shd w:val="clear" w:color="auto" w:fill="auto"/>
            <w:noWrap/>
            <w:vAlign w:val="center"/>
          </w:tcPr>
          <w:p w14:paraId="6151B40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城区外</w:t>
            </w:r>
          </w:p>
        </w:tc>
      </w:tr>
      <w:tr w14:paraId="5D7BF14A">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000000" w:sz="4" w:space="0"/>
              <w:right w:val="single" w:color="auto" w:sz="4" w:space="0"/>
            </w:tcBorders>
            <w:vAlign w:val="center"/>
          </w:tcPr>
          <w:p w14:paraId="4B004398">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000000" w:sz="4" w:space="0"/>
              <w:right w:val="single" w:color="auto" w:sz="4" w:space="0"/>
            </w:tcBorders>
            <w:vAlign w:val="center"/>
          </w:tcPr>
          <w:p w14:paraId="5CF54C11">
            <w:pPr>
              <w:widowControl/>
              <w:jc w:val="left"/>
              <w:rPr>
                <w:rFonts w:hint="eastAsia" w:ascii="仿宋" w:hAnsi="仿宋" w:eastAsia="仿宋" w:cs="仿宋"/>
                <w:color w:val="000000"/>
                <w:kern w:val="0"/>
                <w:sz w:val="24"/>
                <w:highlight w:val="none"/>
              </w:rPr>
            </w:pPr>
          </w:p>
        </w:tc>
        <w:tc>
          <w:tcPr>
            <w:tcW w:w="1005" w:type="pct"/>
            <w:vMerge w:val="continue"/>
            <w:tcBorders>
              <w:top w:val="nil"/>
              <w:left w:val="single" w:color="auto" w:sz="4" w:space="0"/>
              <w:bottom w:val="single" w:color="000000" w:sz="4" w:space="0"/>
              <w:right w:val="single" w:color="auto" w:sz="4" w:space="0"/>
            </w:tcBorders>
            <w:vAlign w:val="center"/>
          </w:tcPr>
          <w:p w14:paraId="086A5C46">
            <w:pPr>
              <w:widowControl/>
              <w:jc w:val="left"/>
              <w:rPr>
                <w:rFonts w:hint="eastAsia" w:ascii="仿宋" w:hAnsi="仿宋" w:eastAsia="仿宋" w:cs="仿宋"/>
                <w:color w:val="000000"/>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70BB287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天</w:t>
            </w:r>
          </w:p>
        </w:tc>
        <w:tc>
          <w:tcPr>
            <w:tcW w:w="1646" w:type="pct"/>
            <w:tcBorders>
              <w:top w:val="nil"/>
              <w:left w:val="nil"/>
              <w:bottom w:val="single" w:color="auto" w:sz="4" w:space="0"/>
              <w:right w:val="single" w:color="auto" w:sz="4" w:space="0"/>
            </w:tcBorders>
            <w:shd w:val="clear" w:color="auto" w:fill="auto"/>
            <w:noWrap/>
            <w:vAlign w:val="center"/>
          </w:tcPr>
          <w:p w14:paraId="1CA12C85">
            <w:pPr>
              <w:keepNext w:val="0"/>
              <w:keepLines w:val="0"/>
              <w:widowControl/>
              <w:suppressLineNumbers w:val="0"/>
              <w:jc w:val="center"/>
              <w:textAlignment w:val="center"/>
              <w:rPr>
                <w:rFonts w:hint="eastAsia" w:ascii="仿宋" w:hAnsi="仿宋" w:eastAsia="仿宋" w:cs="仿宋"/>
                <w:color w:val="000000"/>
                <w:kern w:val="0"/>
                <w:sz w:val="24"/>
                <w:highlight w:val="none"/>
              </w:rPr>
            </w:pPr>
            <w:r>
              <w:rPr>
                <w:rFonts w:hint="eastAsia" w:ascii="仿宋" w:hAnsi="仿宋" w:eastAsia="仿宋" w:cs="仿宋"/>
                <w:i w:val="0"/>
                <w:iCs w:val="0"/>
                <w:color w:val="000000"/>
                <w:kern w:val="0"/>
                <w:sz w:val="24"/>
                <w:szCs w:val="24"/>
                <w:u w:val="none"/>
                <w:lang w:val="en-US" w:eastAsia="zh-CN" w:bidi="ar"/>
              </w:rPr>
              <w:t>1600</w:t>
            </w:r>
          </w:p>
        </w:tc>
        <w:tc>
          <w:tcPr>
            <w:tcW w:w="953" w:type="pct"/>
            <w:tcBorders>
              <w:top w:val="nil"/>
              <w:left w:val="nil"/>
              <w:bottom w:val="single" w:color="auto" w:sz="4" w:space="0"/>
              <w:right w:val="single" w:color="auto" w:sz="4" w:space="0"/>
            </w:tcBorders>
            <w:shd w:val="clear" w:color="auto" w:fill="auto"/>
            <w:noWrap/>
            <w:vAlign w:val="center"/>
          </w:tcPr>
          <w:p w14:paraId="3BADFF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每天按8小时</w:t>
            </w:r>
          </w:p>
        </w:tc>
      </w:tr>
      <w:tr w14:paraId="7694C6F7">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000000" w:sz="4" w:space="0"/>
              <w:right w:val="single" w:color="auto" w:sz="4" w:space="0"/>
            </w:tcBorders>
            <w:vAlign w:val="center"/>
          </w:tcPr>
          <w:p w14:paraId="784525E1">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000000" w:sz="4" w:space="0"/>
              <w:right w:val="single" w:color="auto" w:sz="4" w:space="0"/>
            </w:tcBorders>
            <w:vAlign w:val="center"/>
          </w:tcPr>
          <w:p w14:paraId="14C379DF">
            <w:pPr>
              <w:widowControl/>
              <w:jc w:val="left"/>
              <w:rPr>
                <w:rFonts w:hint="eastAsia" w:ascii="仿宋" w:hAnsi="仿宋" w:eastAsia="仿宋" w:cs="仿宋"/>
                <w:color w:val="000000"/>
                <w:kern w:val="0"/>
                <w:sz w:val="24"/>
                <w:highlight w:val="none"/>
              </w:rPr>
            </w:pPr>
          </w:p>
        </w:tc>
        <w:tc>
          <w:tcPr>
            <w:tcW w:w="1005" w:type="pct"/>
            <w:vMerge w:val="restart"/>
            <w:tcBorders>
              <w:top w:val="nil"/>
              <w:left w:val="single" w:color="auto" w:sz="4" w:space="0"/>
              <w:right w:val="single" w:color="auto" w:sz="4" w:space="0"/>
            </w:tcBorders>
            <w:vAlign w:val="center"/>
          </w:tcPr>
          <w:p w14:paraId="59656785">
            <w:pPr>
              <w:widowControl/>
              <w:jc w:val="center"/>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12米</w:t>
            </w:r>
          </w:p>
        </w:tc>
        <w:tc>
          <w:tcPr>
            <w:tcW w:w="543" w:type="pct"/>
            <w:tcBorders>
              <w:top w:val="nil"/>
              <w:left w:val="nil"/>
              <w:bottom w:val="single" w:color="auto" w:sz="4" w:space="0"/>
              <w:right w:val="single" w:color="auto" w:sz="4" w:space="0"/>
            </w:tcBorders>
            <w:shd w:val="clear" w:color="auto" w:fill="auto"/>
            <w:noWrap/>
            <w:vAlign w:val="center"/>
          </w:tcPr>
          <w:p w14:paraId="6AAC59F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1646" w:type="pct"/>
            <w:tcBorders>
              <w:top w:val="nil"/>
              <w:left w:val="nil"/>
              <w:bottom w:val="single" w:color="auto" w:sz="4" w:space="0"/>
              <w:right w:val="single" w:color="auto" w:sz="4" w:space="0"/>
            </w:tcBorders>
            <w:shd w:val="clear" w:color="auto" w:fill="auto"/>
            <w:noWrap/>
            <w:vAlign w:val="center"/>
          </w:tcPr>
          <w:p w14:paraId="7F0678AB">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750</w:t>
            </w:r>
          </w:p>
        </w:tc>
        <w:tc>
          <w:tcPr>
            <w:tcW w:w="953" w:type="pct"/>
            <w:tcBorders>
              <w:top w:val="nil"/>
              <w:left w:val="nil"/>
              <w:bottom w:val="single" w:color="auto" w:sz="4" w:space="0"/>
              <w:right w:val="single" w:color="auto" w:sz="4" w:space="0"/>
            </w:tcBorders>
            <w:shd w:val="clear" w:color="auto" w:fill="auto"/>
            <w:noWrap/>
            <w:vAlign w:val="center"/>
          </w:tcPr>
          <w:p w14:paraId="422E6F8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r>
      <w:tr w14:paraId="4C638DC6">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000000" w:sz="4" w:space="0"/>
              <w:right w:val="single" w:color="auto" w:sz="4" w:space="0"/>
            </w:tcBorders>
            <w:vAlign w:val="center"/>
          </w:tcPr>
          <w:p w14:paraId="2F8004E1">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000000" w:sz="4" w:space="0"/>
              <w:right w:val="single" w:color="auto" w:sz="4" w:space="0"/>
            </w:tcBorders>
            <w:vAlign w:val="center"/>
          </w:tcPr>
          <w:p w14:paraId="67784B45">
            <w:pPr>
              <w:widowControl/>
              <w:jc w:val="left"/>
              <w:rPr>
                <w:rFonts w:hint="eastAsia" w:ascii="仿宋" w:hAnsi="仿宋" w:eastAsia="仿宋" w:cs="仿宋"/>
                <w:color w:val="000000"/>
                <w:kern w:val="0"/>
                <w:sz w:val="24"/>
                <w:highlight w:val="none"/>
              </w:rPr>
            </w:pPr>
          </w:p>
        </w:tc>
        <w:tc>
          <w:tcPr>
            <w:tcW w:w="1005" w:type="pct"/>
            <w:vMerge w:val="continue"/>
            <w:tcBorders>
              <w:left w:val="single" w:color="auto" w:sz="4" w:space="0"/>
              <w:right w:val="single" w:color="auto" w:sz="4" w:space="0"/>
            </w:tcBorders>
            <w:vAlign w:val="center"/>
          </w:tcPr>
          <w:p w14:paraId="0D041271">
            <w:pPr>
              <w:widowControl/>
              <w:jc w:val="left"/>
              <w:rPr>
                <w:rFonts w:hint="eastAsia" w:ascii="仿宋" w:hAnsi="仿宋" w:eastAsia="仿宋" w:cs="仿宋"/>
                <w:color w:val="000000"/>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1144C5C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1646" w:type="pct"/>
            <w:tcBorders>
              <w:top w:val="nil"/>
              <w:left w:val="nil"/>
              <w:bottom w:val="single" w:color="auto" w:sz="4" w:space="0"/>
              <w:right w:val="single" w:color="auto" w:sz="4" w:space="0"/>
            </w:tcBorders>
            <w:shd w:val="clear" w:color="auto" w:fill="auto"/>
            <w:noWrap/>
            <w:vAlign w:val="center"/>
          </w:tcPr>
          <w:p w14:paraId="13AAD97D">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970</w:t>
            </w:r>
          </w:p>
        </w:tc>
        <w:tc>
          <w:tcPr>
            <w:tcW w:w="953" w:type="pct"/>
            <w:tcBorders>
              <w:top w:val="nil"/>
              <w:left w:val="nil"/>
              <w:bottom w:val="single" w:color="auto" w:sz="4" w:space="0"/>
              <w:right w:val="single" w:color="auto" w:sz="4" w:space="0"/>
            </w:tcBorders>
            <w:shd w:val="clear" w:color="auto" w:fill="auto"/>
            <w:noWrap/>
            <w:vAlign w:val="center"/>
          </w:tcPr>
          <w:p w14:paraId="72CBB60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r>
      <w:tr w14:paraId="45A894F0">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1F463AE5">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3BB6C539">
            <w:pPr>
              <w:widowControl/>
              <w:jc w:val="left"/>
              <w:rPr>
                <w:rFonts w:hint="eastAsia" w:ascii="仿宋" w:hAnsi="仿宋" w:eastAsia="仿宋" w:cs="仿宋"/>
                <w:color w:val="000000"/>
                <w:kern w:val="0"/>
                <w:sz w:val="24"/>
                <w:highlight w:val="none"/>
              </w:rPr>
            </w:pPr>
          </w:p>
        </w:tc>
        <w:tc>
          <w:tcPr>
            <w:tcW w:w="1005" w:type="pct"/>
            <w:vMerge w:val="continue"/>
            <w:tcBorders>
              <w:left w:val="single" w:color="auto" w:sz="4" w:space="0"/>
              <w:bottom w:val="single" w:color="auto" w:sz="4" w:space="0"/>
              <w:right w:val="single" w:color="auto" w:sz="4" w:space="0"/>
            </w:tcBorders>
            <w:vAlign w:val="center"/>
          </w:tcPr>
          <w:p w14:paraId="0ACFAE41">
            <w:pPr>
              <w:widowControl/>
              <w:jc w:val="left"/>
              <w:rPr>
                <w:rFonts w:hint="eastAsia" w:ascii="仿宋" w:hAnsi="仿宋" w:eastAsia="仿宋" w:cs="仿宋"/>
                <w:color w:val="000000"/>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370F13F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1646" w:type="pct"/>
            <w:tcBorders>
              <w:top w:val="nil"/>
              <w:left w:val="nil"/>
              <w:bottom w:val="single" w:color="auto" w:sz="4" w:space="0"/>
              <w:right w:val="single" w:color="auto" w:sz="4" w:space="0"/>
            </w:tcBorders>
            <w:shd w:val="clear" w:color="auto" w:fill="auto"/>
            <w:noWrap/>
            <w:vAlign w:val="center"/>
          </w:tcPr>
          <w:p w14:paraId="32BE29C7">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1940</w:t>
            </w:r>
          </w:p>
        </w:tc>
        <w:tc>
          <w:tcPr>
            <w:tcW w:w="953" w:type="pct"/>
            <w:tcBorders>
              <w:top w:val="nil"/>
              <w:left w:val="nil"/>
              <w:bottom w:val="single" w:color="auto" w:sz="4" w:space="0"/>
              <w:right w:val="single" w:color="auto" w:sz="4" w:space="0"/>
            </w:tcBorders>
            <w:shd w:val="clear" w:color="auto" w:fill="auto"/>
            <w:noWrap/>
            <w:vAlign w:val="center"/>
          </w:tcPr>
          <w:p w14:paraId="154FD71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r>
      <w:tr w14:paraId="2D26BDE0">
        <w:tblPrEx>
          <w:tblCellMar>
            <w:top w:w="0" w:type="dxa"/>
            <w:left w:w="108" w:type="dxa"/>
            <w:bottom w:w="0" w:type="dxa"/>
            <w:right w:w="108" w:type="dxa"/>
          </w:tblCellMar>
        </w:tblPrEx>
        <w:trPr>
          <w:trHeight w:val="283" w:hRule="atLeast"/>
        </w:trPr>
        <w:tc>
          <w:tcPr>
            <w:tcW w:w="36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26DFA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48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D24CF1">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吊车</w:t>
            </w:r>
          </w:p>
        </w:tc>
        <w:tc>
          <w:tcPr>
            <w:tcW w:w="1005"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AB54A53">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＞8吨，≤15吨</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61D85A6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1646" w:type="pct"/>
            <w:tcBorders>
              <w:top w:val="single" w:color="auto" w:sz="4" w:space="0"/>
              <w:left w:val="nil"/>
              <w:bottom w:val="single" w:color="auto" w:sz="4" w:space="0"/>
              <w:right w:val="single" w:color="auto" w:sz="4" w:space="0"/>
            </w:tcBorders>
            <w:shd w:val="clear" w:color="auto" w:fill="auto"/>
            <w:noWrap/>
            <w:vAlign w:val="center"/>
          </w:tcPr>
          <w:p w14:paraId="62E3B809">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550</w:t>
            </w:r>
          </w:p>
        </w:tc>
        <w:tc>
          <w:tcPr>
            <w:tcW w:w="953" w:type="pct"/>
            <w:tcBorders>
              <w:top w:val="single" w:color="auto" w:sz="4" w:space="0"/>
              <w:left w:val="nil"/>
              <w:bottom w:val="single" w:color="auto" w:sz="4" w:space="0"/>
              <w:right w:val="single" w:color="auto" w:sz="4" w:space="0"/>
            </w:tcBorders>
            <w:shd w:val="clear" w:color="auto" w:fill="auto"/>
            <w:noWrap/>
            <w:vAlign w:val="center"/>
          </w:tcPr>
          <w:p w14:paraId="077B7A9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r>
      <w:tr w14:paraId="1AFD04FB">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72982084">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644E67A1">
            <w:pPr>
              <w:widowControl/>
              <w:jc w:val="left"/>
              <w:rPr>
                <w:rFonts w:hint="eastAsia" w:ascii="仿宋" w:hAnsi="仿宋" w:eastAsia="仿宋" w:cs="仿宋"/>
                <w:color w:val="000000"/>
                <w:kern w:val="0"/>
                <w:sz w:val="24"/>
                <w:highlight w:val="none"/>
              </w:rPr>
            </w:pPr>
          </w:p>
        </w:tc>
        <w:tc>
          <w:tcPr>
            <w:tcW w:w="1005" w:type="pct"/>
            <w:vMerge w:val="continue"/>
            <w:tcBorders>
              <w:top w:val="nil"/>
              <w:left w:val="single" w:color="auto" w:sz="4" w:space="0"/>
              <w:bottom w:val="single" w:color="000000" w:sz="4" w:space="0"/>
              <w:right w:val="single" w:color="auto" w:sz="4" w:space="0"/>
            </w:tcBorders>
            <w:vAlign w:val="center"/>
          </w:tcPr>
          <w:p w14:paraId="3294660F">
            <w:pPr>
              <w:widowControl/>
              <w:jc w:val="left"/>
              <w:rPr>
                <w:rFonts w:hint="eastAsia" w:ascii="仿宋" w:hAnsi="仿宋" w:eastAsia="仿宋" w:cs="仿宋"/>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18942D1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1646" w:type="pct"/>
            <w:tcBorders>
              <w:top w:val="nil"/>
              <w:left w:val="nil"/>
              <w:bottom w:val="single" w:color="auto" w:sz="4" w:space="0"/>
              <w:right w:val="single" w:color="auto" w:sz="4" w:space="0"/>
            </w:tcBorders>
            <w:shd w:val="clear" w:color="auto" w:fill="auto"/>
            <w:noWrap/>
            <w:vAlign w:val="center"/>
          </w:tcPr>
          <w:p w14:paraId="462A6109">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650</w:t>
            </w:r>
          </w:p>
        </w:tc>
        <w:tc>
          <w:tcPr>
            <w:tcW w:w="953" w:type="pct"/>
            <w:tcBorders>
              <w:top w:val="nil"/>
              <w:left w:val="nil"/>
              <w:bottom w:val="single" w:color="auto" w:sz="4" w:space="0"/>
              <w:right w:val="single" w:color="auto" w:sz="4" w:space="0"/>
            </w:tcBorders>
            <w:shd w:val="clear" w:color="auto" w:fill="auto"/>
            <w:noWrap/>
            <w:vAlign w:val="center"/>
          </w:tcPr>
          <w:p w14:paraId="4604E59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r>
      <w:tr w14:paraId="677CD0B7">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7600EBC9">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26D4C875">
            <w:pPr>
              <w:widowControl/>
              <w:jc w:val="left"/>
              <w:rPr>
                <w:rFonts w:hint="eastAsia" w:ascii="仿宋" w:hAnsi="仿宋" w:eastAsia="仿宋" w:cs="仿宋"/>
                <w:color w:val="000000"/>
                <w:kern w:val="0"/>
                <w:sz w:val="24"/>
                <w:highlight w:val="none"/>
              </w:rPr>
            </w:pPr>
          </w:p>
        </w:tc>
        <w:tc>
          <w:tcPr>
            <w:tcW w:w="1005" w:type="pct"/>
            <w:vMerge w:val="continue"/>
            <w:tcBorders>
              <w:top w:val="nil"/>
              <w:left w:val="single" w:color="auto" w:sz="4" w:space="0"/>
              <w:bottom w:val="single" w:color="000000" w:sz="4" w:space="0"/>
              <w:right w:val="single" w:color="auto" w:sz="4" w:space="0"/>
            </w:tcBorders>
            <w:vAlign w:val="center"/>
          </w:tcPr>
          <w:p w14:paraId="64FEF804">
            <w:pPr>
              <w:widowControl/>
              <w:jc w:val="left"/>
              <w:rPr>
                <w:rFonts w:hint="eastAsia" w:ascii="仿宋" w:hAnsi="仿宋" w:eastAsia="仿宋" w:cs="仿宋"/>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3526EA12">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1646" w:type="pct"/>
            <w:tcBorders>
              <w:top w:val="nil"/>
              <w:left w:val="nil"/>
              <w:bottom w:val="single" w:color="auto" w:sz="4" w:space="0"/>
              <w:right w:val="single" w:color="auto" w:sz="4" w:space="0"/>
            </w:tcBorders>
            <w:shd w:val="clear" w:color="auto" w:fill="auto"/>
            <w:noWrap/>
            <w:vAlign w:val="center"/>
          </w:tcPr>
          <w:p w14:paraId="5C519558">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1100</w:t>
            </w:r>
          </w:p>
        </w:tc>
        <w:tc>
          <w:tcPr>
            <w:tcW w:w="953" w:type="pct"/>
            <w:tcBorders>
              <w:top w:val="nil"/>
              <w:left w:val="nil"/>
              <w:bottom w:val="single" w:color="auto" w:sz="4" w:space="0"/>
              <w:right w:val="single" w:color="auto" w:sz="4" w:space="0"/>
            </w:tcBorders>
            <w:shd w:val="clear" w:color="auto" w:fill="auto"/>
            <w:noWrap/>
            <w:vAlign w:val="center"/>
          </w:tcPr>
          <w:p w14:paraId="5856936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r>
      <w:tr w14:paraId="30B9B04F">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4BF0A119">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7AFC1098">
            <w:pPr>
              <w:widowControl/>
              <w:jc w:val="left"/>
              <w:rPr>
                <w:rFonts w:hint="eastAsia" w:ascii="仿宋" w:hAnsi="仿宋" w:eastAsia="仿宋" w:cs="仿宋"/>
                <w:color w:val="000000"/>
                <w:kern w:val="0"/>
                <w:sz w:val="24"/>
                <w:highlight w:val="none"/>
              </w:rPr>
            </w:pPr>
          </w:p>
        </w:tc>
        <w:tc>
          <w:tcPr>
            <w:tcW w:w="1005" w:type="pct"/>
            <w:vMerge w:val="restart"/>
            <w:tcBorders>
              <w:top w:val="nil"/>
              <w:left w:val="single" w:color="auto" w:sz="4" w:space="0"/>
              <w:right w:val="single" w:color="auto" w:sz="4" w:space="0"/>
            </w:tcBorders>
            <w:vAlign w:val="center"/>
          </w:tcPr>
          <w:p w14:paraId="25756175">
            <w:pPr>
              <w:widowControl/>
              <w:jc w:val="center"/>
              <w:rPr>
                <w:rFonts w:hint="default" w:ascii="仿宋" w:hAnsi="仿宋" w:eastAsia="仿宋" w:cs="仿宋"/>
                <w:kern w:val="0"/>
                <w:sz w:val="24"/>
                <w:highlight w:val="none"/>
                <w:lang w:val="en-US" w:eastAsia="zh-CN"/>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＞15吨，≤25吨</w:t>
            </w:r>
          </w:p>
        </w:tc>
        <w:tc>
          <w:tcPr>
            <w:tcW w:w="543" w:type="pct"/>
            <w:tcBorders>
              <w:top w:val="nil"/>
              <w:left w:val="nil"/>
              <w:bottom w:val="single" w:color="auto" w:sz="4" w:space="0"/>
              <w:right w:val="single" w:color="auto" w:sz="4" w:space="0"/>
            </w:tcBorders>
            <w:shd w:val="clear" w:color="auto" w:fill="auto"/>
            <w:noWrap/>
            <w:vAlign w:val="center"/>
          </w:tcPr>
          <w:p w14:paraId="4BCBC8C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1646" w:type="pct"/>
            <w:tcBorders>
              <w:top w:val="nil"/>
              <w:left w:val="nil"/>
              <w:bottom w:val="single" w:color="auto" w:sz="4" w:space="0"/>
              <w:right w:val="single" w:color="auto" w:sz="4" w:space="0"/>
            </w:tcBorders>
            <w:shd w:val="clear" w:color="auto" w:fill="auto"/>
            <w:noWrap/>
            <w:vAlign w:val="center"/>
          </w:tcPr>
          <w:p w14:paraId="75EB337A">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670</w:t>
            </w:r>
          </w:p>
        </w:tc>
        <w:tc>
          <w:tcPr>
            <w:tcW w:w="953" w:type="pct"/>
            <w:tcBorders>
              <w:top w:val="nil"/>
              <w:left w:val="nil"/>
              <w:bottom w:val="single" w:color="auto" w:sz="4" w:space="0"/>
              <w:right w:val="single" w:color="auto" w:sz="4" w:space="0"/>
            </w:tcBorders>
            <w:shd w:val="clear" w:color="auto" w:fill="auto"/>
            <w:noWrap/>
            <w:vAlign w:val="center"/>
          </w:tcPr>
          <w:p w14:paraId="68928402">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r>
      <w:tr w14:paraId="5BFD5E2C">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65BB8E5C">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283F2075">
            <w:pPr>
              <w:widowControl/>
              <w:jc w:val="left"/>
              <w:rPr>
                <w:rFonts w:hint="eastAsia" w:ascii="仿宋" w:hAnsi="仿宋" w:eastAsia="仿宋" w:cs="仿宋"/>
                <w:color w:val="000000"/>
                <w:kern w:val="0"/>
                <w:sz w:val="24"/>
                <w:highlight w:val="none"/>
              </w:rPr>
            </w:pPr>
          </w:p>
        </w:tc>
        <w:tc>
          <w:tcPr>
            <w:tcW w:w="1005" w:type="pct"/>
            <w:vMerge w:val="continue"/>
            <w:tcBorders>
              <w:left w:val="single" w:color="auto" w:sz="4" w:space="0"/>
              <w:right w:val="single" w:color="auto" w:sz="4" w:space="0"/>
            </w:tcBorders>
            <w:vAlign w:val="center"/>
          </w:tcPr>
          <w:p w14:paraId="0E8B76CB">
            <w:pPr>
              <w:widowControl/>
              <w:jc w:val="left"/>
              <w:rPr>
                <w:rFonts w:hint="eastAsia" w:ascii="仿宋" w:hAnsi="仿宋" w:eastAsia="仿宋" w:cs="仿宋"/>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6B24AA1C">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1646" w:type="pct"/>
            <w:tcBorders>
              <w:top w:val="nil"/>
              <w:left w:val="nil"/>
              <w:bottom w:val="single" w:color="auto" w:sz="4" w:space="0"/>
              <w:right w:val="single" w:color="auto" w:sz="4" w:space="0"/>
            </w:tcBorders>
            <w:shd w:val="clear" w:color="auto" w:fill="auto"/>
            <w:noWrap/>
            <w:vAlign w:val="center"/>
          </w:tcPr>
          <w:p w14:paraId="0CC1423B">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750</w:t>
            </w:r>
          </w:p>
        </w:tc>
        <w:tc>
          <w:tcPr>
            <w:tcW w:w="953" w:type="pct"/>
            <w:tcBorders>
              <w:top w:val="nil"/>
              <w:left w:val="nil"/>
              <w:bottom w:val="single" w:color="auto" w:sz="4" w:space="0"/>
              <w:right w:val="single" w:color="auto" w:sz="4" w:space="0"/>
            </w:tcBorders>
            <w:shd w:val="clear" w:color="auto" w:fill="auto"/>
            <w:noWrap/>
            <w:vAlign w:val="center"/>
          </w:tcPr>
          <w:p w14:paraId="06F107BE">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r>
      <w:tr w14:paraId="04D3A413">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11938485">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584AD805">
            <w:pPr>
              <w:widowControl/>
              <w:jc w:val="left"/>
              <w:rPr>
                <w:rFonts w:hint="eastAsia" w:ascii="仿宋" w:hAnsi="仿宋" w:eastAsia="仿宋" w:cs="仿宋"/>
                <w:color w:val="000000"/>
                <w:kern w:val="0"/>
                <w:sz w:val="24"/>
                <w:highlight w:val="none"/>
              </w:rPr>
            </w:pPr>
          </w:p>
        </w:tc>
        <w:tc>
          <w:tcPr>
            <w:tcW w:w="1005" w:type="pct"/>
            <w:vMerge w:val="continue"/>
            <w:tcBorders>
              <w:left w:val="single" w:color="auto" w:sz="4" w:space="0"/>
              <w:bottom w:val="single" w:color="000000" w:sz="4" w:space="0"/>
              <w:right w:val="single" w:color="auto" w:sz="4" w:space="0"/>
            </w:tcBorders>
            <w:vAlign w:val="center"/>
          </w:tcPr>
          <w:p w14:paraId="5ED0CC7D">
            <w:pPr>
              <w:widowControl/>
              <w:jc w:val="left"/>
              <w:rPr>
                <w:rFonts w:hint="eastAsia" w:ascii="仿宋" w:hAnsi="仿宋" w:eastAsia="仿宋" w:cs="仿宋"/>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2BC40FF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1646" w:type="pct"/>
            <w:tcBorders>
              <w:top w:val="nil"/>
              <w:left w:val="nil"/>
              <w:bottom w:val="single" w:color="auto" w:sz="4" w:space="0"/>
              <w:right w:val="single" w:color="auto" w:sz="4" w:space="0"/>
            </w:tcBorders>
            <w:shd w:val="clear" w:color="auto" w:fill="auto"/>
            <w:noWrap/>
            <w:vAlign w:val="center"/>
          </w:tcPr>
          <w:p w14:paraId="2E1CE0C2">
            <w:pPr>
              <w:keepNext w:val="0"/>
              <w:keepLines w:val="0"/>
              <w:widowControl/>
              <w:suppressLineNumbers w:val="0"/>
              <w:jc w:val="center"/>
              <w:textAlignment w:val="center"/>
              <w:rPr>
                <w:rFonts w:hint="eastAsia" w:ascii="仿宋" w:hAnsi="仿宋" w:eastAsia="仿宋" w:cs="仿宋"/>
                <w:kern w:val="0"/>
                <w:sz w:val="24"/>
                <w:highlight w:val="none"/>
              </w:rPr>
            </w:pPr>
            <w:r>
              <w:rPr>
                <w:rFonts w:hint="eastAsia" w:ascii="仿宋" w:hAnsi="仿宋" w:eastAsia="仿宋" w:cs="仿宋"/>
                <w:i w:val="0"/>
                <w:iCs w:val="0"/>
                <w:color w:val="000000"/>
                <w:kern w:val="0"/>
                <w:sz w:val="24"/>
                <w:szCs w:val="24"/>
                <w:u w:val="none"/>
                <w:lang w:val="en-US" w:eastAsia="zh-CN" w:bidi="ar"/>
              </w:rPr>
              <w:t>1300</w:t>
            </w:r>
          </w:p>
        </w:tc>
        <w:tc>
          <w:tcPr>
            <w:tcW w:w="953" w:type="pct"/>
            <w:tcBorders>
              <w:top w:val="nil"/>
              <w:left w:val="nil"/>
              <w:bottom w:val="single" w:color="auto" w:sz="4" w:space="0"/>
              <w:right w:val="single" w:color="auto" w:sz="4" w:space="0"/>
            </w:tcBorders>
            <w:shd w:val="clear" w:color="auto" w:fill="auto"/>
            <w:noWrap/>
            <w:vAlign w:val="center"/>
          </w:tcPr>
          <w:p w14:paraId="1FDBE45E">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r>
      <w:tr w14:paraId="3B38E793">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5B070B43">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3AD690B5">
            <w:pPr>
              <w:widowControl/>
              <w:jc w:val="left"/>
              <w:rPr>
                <w:rFonts w:hint="eastAsia" w:ascii="仿宋" w:hAnsi="仿宋" w:eastAsia="仿宋" w:cs="仿宋"/>
                <w:color w:val="000000"/>
                <w:kern w:val="0"/>
                <w:sz w:val="24"/>
                <w:highlight w:val="none"/>
              </w:rPr>
            </w:pPr>
          </w:p>
        </w:tc>
        <w:tc>
          <w:tcPr>
            <w:tcW w:w="1005"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5201592">
            <w:pPr>
              <w:widowControl/>
              <w:jc w:val="center"/>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＞25吨，≤30吨</w:t>
            </w:r>
          </w:p>
        </w:tc>
        <w:tc>
          <w:tcPr>
            <w:tcW w:w="543" w:type="pct"/>
            <w:tcBorders>
              <w:top w:val="nil"/>
              <w:left w:val="nil"/>
              <w:bottom w:val="single" w:color="auto" w:sz="4" w:space="0"/>
              <w:right w:val="single" w:color="auto" w:sz="4" w:space="0"/>
            </w:tcBorders>
            <w:shd w:val="clear" w:color="auto" w:fill="auto"/>
            <w:noWrap/>
            <w:vAlign w:val="center"/>
          </w:tcPr>
          <w:p w14:paraId="084C3EEE">
            <w:pPr>
              <w:widowControl/>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次</w:t>
            </w:r>
          </w:p>
        </w:tc>
        <w:tc>
          <w:tcPr>
            <w:tcW w:w="1646" w:type="pct"/>
            <w:tcBorders>
              <w:top w:val="nil"/>
              <w:left w:val="nil"/>
              <w:bottom w:val="single" w:color="auto" w:sz="4" w:space="0"/>
              <w:right w:val="single" w:color="auto" w:sz="4" w:space="0"/>
            </w:tcBorders>
            <w:shd w:val="clear" w:color="auto" w:fill="auto"/>
            <w:noWrap/>
            <w:vAlign w:val="center"/>
          </w:tcPr>
          <w:p w14:paraId="5ADC7876">
            <w:pPr>
              <w:keepNext w:val="0"/>
              <w:keepLines w:val="0"/>
              <w:widowControl/>
              <w:suppressLineNumbers w:val="0"/>
              <w:jc w:val="center"/>
              <w:textAlignment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820</w:t>
            </w:r>
          </w:p>
        </w:tc>
        <w:tc>
          <w:tcPr>
            <w:tcW w:w="953" w:type="pct"/>
            <w:tcBorders>
              <w:top w:val="nil"/>
              <w:left w:val="nil"/>
              <w:bottom w:val="single" w:color="auto" w:sz="4" w:space="0"/>
              <w:right w:val="single" w:color="auto" w:sz="4" w:space="0"/>
            </w:tcBorders>
            <w:shd w:val="clear" w:color="auto" w:fill="auto"/>
            <w:noWrap/>
            <w:vAlign w:val="center"/>
          </w:tcPr>
          <w:p w14:paraId="1CAE8FB6">
            <w:pPr>
              <w:widowControl/>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城区内</w:t>
            </w:r>
          </w:p>
        </w:tc>
      </w:tr>
      <w:tr w14:paraId="74C04999">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30ABA7B1">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1544BC2F">
            <w:pPr>
              <w:widowControl/>
              <w:jc w:val="left"/>
              <w:rPr>
                <w:rFonts w:hint="eastAsia" w:ascii="仿宋" w:hAnsi="仿宋" w:eastAsia="仿宋" w:cs="仿宋"/>
                <w:color w:val="000000"/>
                <w:kern w:val="0"/>
                <w:sz w:val="24"/>
                <w:highlight w:val="none"/>
              </w:rPr>
            </w:pPr>
          </w:p>
        </w:tc>
        <w:tc>
          <w:tcPr>
            <w:tcW w:w="1005" w:type="pct"/>
            <w:vMerge w:val="continue"/>
            <w:tcBorders>
              <w:top w:val="single" w:color="auto" w:sz="4" w:space="0"/>
              <w:left w:val="single" w:color="auto" w:sz="4" w:space="0"/>
              <w:bottom w:val="single" w:color="000000" w:sz="4" w:space="0"/>
              <w:right w:val="single" w:color="auto" w:sz="4" w:space="0"/>
            </w:tcBorders>
            <w:vAlign w:val="center"/>
          </w:tcPr>
          <w:p w14:paraId="5BA3F36A">
            <w:pPr>
              <w:widowControl/>
              <w:jc w:val="left"/>
              <w:rPr>
                <w:rFonts w:hint="eastAsia" w:ascii="仿宋" w:hAnsi="仿宋" w:eastAsia="仿宋" w:cs="仿宋"/>
                <w:color w:val="000000"/>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5FBA0B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1646" w:type="pct"/>
            <w:tcBorders>
              <w:top w:val="nil"/>
              <w:left w:val="nil"/>
              <w:bottom w:val="single" w:color="auto" w:sz="4" w:space="0"/>
              <w:right w:val="single" w:color="auto" w:sz="4" w:space="0"/>
            </w:tcBorders>
            <w:shd w:val="clear" w:color="auto" w:fill="auto"/>
            <w:noWrap/>
            <w:vAlign w:val="center"/>
          </w:tcPr>
          <w:p w14:paraId="0DCC6BF4">
            <w:pPr>
              <w:keepNext w:val="0"/>
              <w:keepLines w:val="0"/>
              <w:widowControl/>
              <w:suppressLineNumbers w:val="0"/>
              <w:jc w:val="center"/>
              <w:textAlignment w:val="center"/>
              <w:rPr>
                <w:rFonts w:hint="eastAsia" w:ascii="仿宋" w:hAnsi="仿宋" w:eastAsia="仿宋" w:cs="仿宋"/>
                <w:color w:val="000000"/>
                <w:kern w:val="0"/>
                <w:sz w:val="24"/>
                <w:highlight w:val="none"/>
              </w:rPr>
            </w:pPr>
            <w:r>
              <w:rPr>
                <w:rFonts w:hint="eastAsia" w:ascii="仿宋" w:hAnsi="仿宋" w:eastAsia="仿宋" w:cs="仿宋"/>
                <w:i w:val="0"/>
                <w:iCs w:val="0"/>
                <w:color w:val="000000"/>
                <w:kern w:val="0"/>
                <w:sz w:val="24"/>
                <w:szCs w:val="24"/>
                <w:u w:val="none"/>
                <w:lang w:val="en-US" w:eastAsia="zh-CN" w:bidi="ar"/>
              </w:rPr>
              <w:t>850</w:t>
            </w:r>
          </w:p>
        </w:tc>
        <w:tc>
          <w:tcPr>
            <w:tcW w:w="953" w:type="pct"/>
            <w:tcBorders>
              <w:top w:val="nil"/>
              <w:left w:val="nil"/>
              <w:bottom w:val="single" w:color="auto" w:sz="4" w:space="0"/>
              <w:right w:val="single" w:color="auto" w:sz="4" w:space="0"/>
            </w:tcBorders>
            <w:shd w:val="clear" w:color="auto" w:fill="auto"/>
            <w:noWrap/>
            <w:vAlign w:val="center"/>
          </w:tcPr>
          <w:p w14:paraId="4C86467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城区外</w:t>
            </w:r>
          </w:p>
        </w:tc>
      </w:tr>
      <w:tr w14:paraId="09925C4F">
        <w:tblPrEx>
          <w:tblCellMar>
            <w:top w:w="0" w:type="dxa"/>
            <w:left w:w="108" w:type="dxa"/>
            <w:bottom w:w="0" w:type="dxa"/>
            <w:right w:w="108" w:type="dxa"/>
          </w:tblCellMar>
        </w:tblPrEx>
        <w:trPr>
          <w:trHeight w:val="283" w:hRule="atLeast"/>
        </w:trPr>
        <w:tc>
          <w:tcPr>
            <w:tcW w:w="365" w:type="pct"/>
            <w:vMerge w:val="continue"/>
            <w:tcBorders>
              <w:top w:val="nil"/>
              <w:left w:val="single" w:color="auto" w:sz="4" w:space="0"/>
              <w:bottom w:val="single" w:color="auto" w:sz="4" w:space="0"/>
              <w:right w:val="single" w:color="auto" w:sz="4" w:space="0"/>
            </w:tcBorders>
            <w:vAlign w:val="center"/>
          </w:tcPr>
          <w:p w14:paraId="54C97804">
            <w:pPr>
              <w:widowControl/>
              <w:jc w:val="left"/>
              <w:rPr>
                <w:rFonts w:hint="eastAsia" w:ascii="仿宋" w:hAnsi="仿宋" w:eastAsia="仿宋" w:cs="仿宋"/>
                <w:color w:val="000000"/>
                <w:kern w:val="0"/>
                <w:sz w:val="24"/>
                <w:highlight w:val="none"/>
              </w:rPr>
            </w:pPr>
          </w:p>
        </w:tc>
        <w:tc>
          <w:tcPr>
            <w:tcW w:w="484" w:type="pct"/>
            <w:vMerge w:val="continue"/>
            <w:tcBorders>
              <w:top w:val="nil"/>
              <w:left w:val="single" w:color="auto" w:sz="4" w:space="0"/>
              <w:bottom w:val="single" w:color="auto" w:sz="4" w:space="0"/>
              <w:right w:val="single" w:color="auto" w:sz="4" w:space="0"/>
            </w:tcBorders>
            <w:vAlign w:val="center"/>
          </w:tcPr>
          <w:p w14:paraId="64A22E4F">
            <w:pPr>
              <w:widowControl/>
              <w:jc w:val="left"/>
              <w:rPr>
                <w:rFonts w:hint="eastAsia" w:ascii="仿宋" w:hAnsi="仿宋" w:eastAsia="仿宋" w:cs="仿宋"/>
                <w:color w:val="000000"/>
                <w:kern w:val="0"/>
                <w:sz w:val="24"/>
                <w:highlight w:val="none"/>
              </w:rPr>
            </w:pPr>
          </w:p>
        </w:tc>
        <w:tc>
          <w:tcPr>
            <w:tcW w:w="1005" w:type="pct"/>
            <w:vMerge w:val="continue"/>
            <w:tcBorders>
              <w:top w:val="single" w:color="auto" w:sz="4" w:space="0"/>
              <w:left w:val="single" w:color="auto" w:sz="4" w:space="0"/>
              <w:bottom w:val="single" w:color="auto" w:sz="4" w:space="0"/>
              <w:right w:val="single" w:color="auto" w:sz="4" w:space="0"/>
            </w:tcBorders>
            <w:vAlign w:val="center"/>
          </w:tcPr>
          <w:p w14:paraId="29CDD159">
            <w:pPr>
              <w:widowControl/>
              <w:jc w:val="left"/>
              <w:rPr>
                <w:rFonts w:hint="eastAsia" w:ascii="仿宋" w:hAnsi="仿宋" w:eastAsia="仿宋" w:cs="仿宋"/>
                <w:color w:val="000000"/>
                <w:kern w:val="0"/>
                <w:sz w:val="24"/>
                <w:highlight w:val="none"/>
              </w:rPr>
            </w:pPr>
          </w:p>
        </w:tc>
        <w:tc>
          <w:tcPr>
            <w:tcW w:w="543" w:type="pct"/>
            <w:tcBorders>
              <w:top w:val="nil"/>
              <w:left w:val="nil"/>
              <w:bottom w:val="single" w:color="auto" w:sz="4" w:space="0"/>
              <w:right w:val="single" w:color="auto" w:sz="4" w:space="0"/>
            </w:tcBorders>
            <w:shd w:val="clear" w:color="auto" w:fill="auto"/>
            <w:noWrap/>
            <w:vAlign w:val="center"/>
          </w:tcPr>
          <w:p w14:paraId="536C197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天</w:t>
            </w:r>
          </w:p>
        </w:tc>
        <w:tc>
          <w:tcPr>
            <w:tcW w:w="1646" w:type="pct"/>
            <w:tcBorders>
              <w:top w:val="nil"/>
              <w:left w:val="nil"/>
              <w:bottom w:val="single" w:color="auto" w:sz="4" w:space="0"/>
              <w:right w:val="single" w:color="auto" w:sz="4" w:space="0"/>
            </w:tcBorders>
            <w:shd w:val="clear" w:color="auto" w:fill="auto"/>
            <w:noWrap/>
            <w:vAlign w:val="center"/>
          </w:tcPr>
          <w:p w14:paraId="321AD80A">
            <w:pPr>
              <w:keepNext w:val="0"/>
              <w:keepLines w:val="0"/>
              <w:widowControl/>
              <w:suppressLineNumbers w:val="0"/>
              <w:jc w:val="center"/>
              <w:textAlignment w:val="center"/>
              <w:rPr>
                <w:rFonts w:hint="eastAsia" w:ascii="仿宋" w:hAnsi="仿宋" w:eastAsia="仿宋" w:cs="仿宋"/>
                <w:color w:val="000000"/>
                <w:kern w:val="0"/>
                <w:sz w:val="24"/>
                <w:highlight w:val="none"/>
              </w:rPr>
            </w:pPr>
            <w:r>
              <w:rPr>
                <w:rFonts w:hint="eastAsia" w:ascii="仿宋" w:hAnsi="仿宋" w:eastAsia="仿宋" w:cs="仿宋"/>
                <w:i w:val="0"/>
                <w:iCs w:val="0"/>
                <w:color w:val="000000"/>
                <w:kern w:val="0"/>
                <w:sz w:val="24"/>
                <w:szCs w:val="24"/>
                <w:u w:val="none"/>
                <w:lang w:val="en-US" w:eastAsia="zh-CN" w:bidi="ar"/>
              </w:rPr>
              <w:t>1450</w:t>
            </w:r>
          </w:p>
        </w:tc>
        <w:tc>
          <w:tcPr>
            <w:tcW w:w="953" w:type="pct"/>
            <w:tcBorders>
              <w:top w:val="nil"/>
              <w:left w:val="nil"/>
              <w:bottom w:val="single" w:color="auto" w:sz="4" w:space="0"/>
              <w:right w:val="single" w:color="auto" w:sz="4" w:space="0"/>
            </w:tcBorders>
            <w:shd w:val="clear" w:color="auto" w:fill="auto"/>
            <w:noWrap/>
            <w:vAlign w:val="center"/>
          </w:tcPr>
          <w:p w14:paraId="3E88D18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每天按8小时</w:t>
            </w:r>
          </w:p>
        </w:tc>
      </w:tr>
      <w:tr w14:paraId="08A63140">
        <w:tblPrEx>
          <w:tblCellMar>
            <w:top w:w="0" w:type="dxa"/>
            <w:left w:w="108" w:type="dxa"/>
            <w:bottom w:w="0" w:type="dxa"/>
            <w:right w:w="108" w:type="dxa"/>
          </w:tblCellMar>
        </w:tblPrEx>
        <w:trPr>
          <w:trHeight w:val="283"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ABF53AB">
            <w:pPr>
              <w:widowControl/>
              <w:jc w:val="both"/>
              <w:rPr>
                <w:rFonts w:hint="default" w:ascii="仿宋" w:hAnsi="仿宋" w:eastAsia="仿宋" w:cs="仿宋"/>
                <w:color w:val="000000"/>
                <w:kern w:val="0"/>
                <w:sz w:val="24"/>
                <w:highlight w:val="none"/>
                <w:lang w:val="en-US"/>
              </w:rPr>
            </w:pPr>
            <w:r>
              <w:rPr>
                <w:rFonts w:hint="eastAsia" w:ascii="仿宋" w:hAnsi="仿宋" w:eastAsia="仿宋" w:cs="仿宋"/>
                <w:b/>
                <w:bCs/>
                <w:i w:val="0"/>
                <w:iCs w:val="0"/>
                <w:color w:val="000000"/>
                <w:kern w:val="0"/>
                <w:sz w:val="24"/>
                <w:szCs w:val="24"/>
                <w:u w:val="none"/>
                <w:lang w:val="en-US" w:eastAsia="zh-CN" w:bidi="ar"/>
              </w:rPr>
              <w:t>注： 各投标供应商每项的分项单价报价与分项综合单价最高限价相比的下浮率必须一致，否则，作无效标处理。投标报价超过分项综</w:t>
            </w:r>
            <w:r>
              <w:rPr>
                <w:rFonts w:hint="eastAsia" w:ascii="仿宋" w:hAnsi="仿宋" w:eastAsia="仿宋" w:cs="仿宋"/>
                <w:b/>
                <w:bCs/>
                <w:i w:val="0"/>
                <w:iCs w:val="0"/>
                <w:color w:val="000000"/>
                <w:kern w:val="0"/>
                <w:sz w:val="24"/>
                <w:szCs w:val="24"/>
                <w:highlight w:val="none"/>
                <w:u w:val="none"/>
                <w:lang w:val="en-US" w:eastAsia="zh-CN" w:bidi="ar"/>
              </w:rPr>
              <w:t>合单价最高限价的作无效标处理。每次调配的吊车，其具体作业吨位均按采购人的实际要求执行。</w:t>
            </w:r>
          </w:p>
        </w:tc>
      </w:tr>
    </w:tbl>
    <w:p w14:paraId="76AC61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（二）商务部分要求：</w:t>
      </w:r>
    </w:p>
    <w:p w14:paraId="19FDF3C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1.服务范围：完成启东市自来水厂有限公司设备运输、材料搬运等采购人要求的所有作业。</w:t>
      </w:r>
    </w:p>
    <w:p w14:paraId="1500630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2.服务周期：1年。</w:t>
      </w:r>
    </w:p>
    <w:p w14:paraId="2296C90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3.服务地点:采购人指定地点。</w:t>
      </w:r>
    </w:p>
    <w:p w14:paraId="34172A6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4.服务要求：</w:t>
      </w:r>
    </w:p>
    <w:p w14:paraId="3F73AC2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（1）成交供应商平时应具备接到电话通知1小时内人员和机械到达指定地点施工；若出现3次以上未能及时到达现场后每发生一次违约金500元；</w:t>
      </w:r>
    </w:p>
    <w:p w14:paraId="20A59A9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（2）施工时由采购人指派专人指挥，一次性验收合格；</w:t>
      </w:r>
    </w:p>
    <w:p w14:paraId="7C40B8A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（3）工程量以现场采购人代表签单现场计量为准，双方签字确认，按实计算，一日一签，隔日作废；</w:t>
      </w:r>
    </w:p>
    <w:p w14:paraId="292139F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（4）在实施过程中必须做到不破坏周边设施，如在施工过程中质量要求2次以上达不到标准，将解除合同。</w:t>
      </w:r>
    </w:p>
    <w:p w14:paraId="1F65BAC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5.约定事项</w:t>
      </w:r>
    </w:p>
    <w:p w14:paraId="6583607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（1）成交供应商应充分考虑项目服务期间的各项安全风险，并采取必要的措施予以保障；若项目服务期间发生任何成交供应商导致的安全事故或人身伤害，则均由成交供应商自行承担。</w:t>
      </w:r>
    </w:p>
    <w:p w14:paraId="0029D9D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（2）本项目工作人员应具备丰富的工作经验。因成交供应商未按规定操作、未安排专业人员进行服务等情形造成的机械设备损失及所有伤害均由成交供应商承担，给委托方带来损失的，也应做相应赔偿。</w:t>
      </w:r>
    </w:p>
    <w:p w14:paraId="14D947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bCs/>
          <w:sz w:val="28"/>
          <w:szCs w:val="28"/>
          <w:highlight w:val="none"/>
          <w:lang w:val="en-US" w:eastAsia="zh-CN"/>
        </w:rPr>
      </w:pPr>
      <w:r>
        <w:rPr>
          <w:rFonts w:hint="eastAsia" w:ascii="宋体" w:hAnsi="宋体" w:cs="宋体"/>
          <w:sz w:val="28"/>
          <w:szCs w:val="28"/>
          <w:highlight w:val="none"/>
          <w:lang w:val="en-US" w:eastAsia="zh-CN"/>
        </w:rPr>
        <w:t>（3）成交供应商提供的作业人员须与投标文件中承诺的人员信息完全一致，不得擅自更换，且作业人员在提供服务时应持有处于有效期限内的所有相关证件。因作业人员证件过期、无效或人员不符导致的各类风险、损失及法律责任，均由成交供应商承担。</w:t>
      </w:r>
    </w:p>
    <w:p w14:paraId="3149E3D5">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二、投标报价要求</w:t>
      </w:r>
    </w:p>
    <w:p w14:paraId="02E06F9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1、各投标供应商每项的分项单价报价与分项综合单价最高限价相比的下浮率必须一致，否则，作无效标处理。</w:t>
      </w:r>
    </w:p>
    <w:p w14:paraId="6DDD82E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本项目采用全费用综合单价报价方式。综合单价包括采购人要求的所有作业内容，以及为完成上述内容所必须的劳务、机械、管理、保险、税费、利润及运输到指定堆放地点所需的全部服务费用。请各供应商在报价时请充分考虑上述各种因素，把风险费用列入投标报价。供应商报价时应充分考虑现场环境以及国家政策性调整等风险因素，在合同实施期间，合同价不随国家政策或法规、标准及市场因素的变化而进行调整。</w:t>
      </w:r>
    </w:p>
    <w:p w14:paraId="634A37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3、本项目招标代理服务费由成交供应商承担。招标代理（含编标）服务项目按照《招标代理服务收费管理暂行办法》国家计委【计价格（2002）1980号】规定的60%计取，单个项目招标代理收费最低800元。</w:t>
      </w:r>
    </w:p>
    <w:p w14:paraId="406AC79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三、付款方式</w:t>
      </w:r>
    </w:p>
    <w:p w14:paraId="1076328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照实际完成的工作量每年度结算一次，服务期满后由成交供应商进行申报，再由采购人进行核实后进行支付。</w:t>
      </w:r>
    </w:p>
    <w:p w14:paraId="27E2676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成交供应商应在每次付款前提供相应的发票，否则付款期限相应顺延。若供货方未开具发票，采购方有权拒付相应款项，并不承担相应的逾期付款的违约责任。</w:t>
      </w:r>
    </w:p>
    <w:p w14:paraId="74BB919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val="0"/>
          <w:bCs w:val="0"/>
          <w:sz w:val="28"/>
          <w:szCs w:val="28"/>
          <w:highlight w:val="none"/>
          <w:lang w:val="en-US" w:eastAsia="zh-CN"/>
        </w:rPr>
        <w:t>注：成交供应商申请付款的程序应符合采购人的财务规定。</w:t>
      </w:r>
    </w:p>
    <w:p w14:paraId="39F3B39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四、履约保证金：</w:t>
      </w:r>
    </w:p>
    <w:p w14:paraId="0437D90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本项目成交后的履约保证金为4000元，成交供应商的履约保证金须在成交通知书发出之日起至合同签订前汇入采购单位账户（应当以数字人民币、银行转账、网银、电汇、支票、本票、汇票、银行保函、保险保函等形式提交），成交供应商应当在中标通知书发出之日起30日内，凭中标通知书和履约保证金缴纳凭证，和采购人订立书面合同。成交供应商在中标通知书发出之日起30日内未缴纳履约保证金或不与采购人签订合同的，视为自动放弃中标资格，采购人可以取消其中标资格。</w:t>
      </w:r>
    </w:p>
    <w:p w14:paraId="1F5E645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2、成交供应商全部履约合同义务后一个月内退还。合同履行过程中，如成交供应商违约的，采购单位有权在履约保证金中直接扣除相应的款项。</w:t>
      </w:r>
    </w:p>
    <w:p w14:paraId="5C41EC9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3、发生以下情况的，履约保证金不予退还或部分退还：</w:t>
      </w:r>
    </w:p>
    <w:p w14:paraId="098A9CD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a.签订合同后，成交供应商不履行合同义务的，采购单位有权全额扣除履约保证金，全额不予退还，同时采购单位亦有权终止合同，成交供应商还须承担相应的法律赔偿责任。</w:t>
      </w:r>
    </w:p>
    <w:p w14:paraId="7958816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1D1B535B">
      <w:pPr>
        <w:snapToGrid w:val="0"/>
        <w:spacing w:line="360" w:lineRule="auto"/>
        <w:ind w:firstLine="480" w:firstLineChars="200"/>
        <w:jc w:val="left"/>
        <w:rPr>
          <w:rFonts w:hint="eastAsia" w:ascii="宋体" w:hAnsi="宋体" w:cs="宋体"/>
          <w:color w:val="000000"/>
          <w:sz w:val="24"/>
          <w:highlight w:val="none"/>
          <w:lang w:val="en-US" w:eastAsia="zh-CN"/>
        </w:rPr>
      </w:pPr>
    </w:p>
    <w:p w14:paraId="36177C2F">
      <w:pPr>
        <w:pStyle w:val="91"/>
        <w:spacing w:before="0" w:beforeAutospacing="0" w:after="0" w:afterAutospacing="0" w:line="500" w:lineRule="exact"/>
        <w:ind w:firstLine="480"/>
        <w:rPr>
          <w:rFonts w:hint="eastAsia" w:cs="宋体"/>
          <w:color w:val="000000" w:themeColor="text1"/>
          <w:highlight w:val="none"/>
          <w:shd w:val="clear" w:color="auto" w:fill="FFFFFF"/>
          <w14:textFill>
            <w14:solidFill>
              <w14:schemeClr w14:val="tx1"/>
            </w14:solidFill>
          </w14:textFill>
        </w:rPr>
      </w:pPr>
    </w:p>
    <w:p w14:paraId="347D76BA">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left"/>
        <w:textAlignment w:val="auto"/>
        <w:rPr>
          <w:rFonts w:hint="default" w:ascii="宋体" w:hAnsi="宋体" w:eastAsia="宋体" w:cs="宋体"/>
          <w:b/>
          <w:bCs w:val="0"/>
          <w:color w:val="000000"/>
          <w:sz w:val="28"/>
          <w:szCs w:val="28"/>
          <w:highlight w:val="none"/>
          <w:lang w:val="en-US" w:eastAsia="zh-CN"/>
        </w:rPr>
      </w:pPr>
    </w:p>
    <w:p w14:paraId="06A7ADD7">
      <w:pPr>
        <w:pStyle w:val="90"/>
        <w:rPr>
          <w:rFonts w:hint="eastAsia"/>
          <w:highlight w:val="none"/>
        </w:rPr>
        <w:sectPr>
          <w:pgSz w:w="11907" w:h="16839"/>
          <w:pgMar w:top="1440" w:right="1417" w:bottom="1440" w:left="1417" w:header="720" w:footer="720" w:gutter="0"/>
          <w:cols w:space="720" w:num="1"/>
          <w:docGrid w:linePitch="286" w:charSpace="0"/>
        </w:sectPr>
      </w:pPr>
    </w:p>
    <w:p w14:paraId="3EF02785">
      <w:pPr>
        <w:adjustRightInd w:val="0"/>
        <w:snapToGrid w:val="0"/>
        <w:spacing w:line="500" w:lineRule="exact"/>
        <w:jc w:val="center"/>
        <w:rPr>
          <w:rFonts w:hint="eastAsia" w:ascii="宋体" w:hAnsi="宋体" w:cs="宋体"/>
          <w:bCs/>
          <w:sz w:val="36"/>
          <w:szCs w:val="36"/>
          <w:highlight w:val="none"/>
        </w:rPr>
      </w:pPr>
      <w:r>
        <w:rPr>
          <w:rFonts w:hint="eastAsia" w:ascii="宋体" w:hAnsi="宋体" w:cs="宋体"/>
          <w:bCs/>
          <w:sz w:val="36"/>
          <w:szCs w:val="36"/>
          <w:highlight w:val="none"/>
        </w:rPr>
        <w:t>第四部分 评审方法和评审标准</w:t>
      </w:r>
    </w:p>
    <w:p w14:paraId="6861D6C2">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baseline"/>
        <w:rPr>
          <w:rFonts w:hint="eastAsia" w:ascii="宋体" w:hAnsi="宋体" w:cs="宋体"/>
          <w:b/>
          <w:sz w:val="28"/>
          <w:szCs w:val="28"/>
          <w:highlight w:val="none"/>
        </w:rPr>
      </w:pPr>
      <w:r>
        <w:rPr>
          <w:rFonts w:hint="eastAsia" w:ascii="宋体" w:hAnsi="宋体" w:cs="宋体"/>
          <w:b/>
          <w:sz w:val="28"/>
          <w:szCs w:val="28"/>
          <w:highlight w:val="none"/>
        </w:rPr>
        <w:t>一、谈判方式</w:t>
      </w:r>
    </w:p>
    <w:p w14:paraId="7F32E9C4">
      <w:pPr>
        <w:keepNext w:val="0"/>
        <w:keepLines w:val="0"/>
        <w:pageBreakBefore w:val="0"/>
        <w:widowControl w:val="0"/>
        <w:tabs>
          <w:tab w:val="left" w:pos="3585"/>
        </w:tabs>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现场谈判模式</w:t>
      </w:r>
      <w:r>
        <w:rPr>
          <w:rFonts w:hint="eastAsia" w:ascii="宋体" w:hAnsi="宋体" w:cs="宋体"/>
          <w:sz w:val="28"/>
          <w:szCs w:val="28"/>
          <w:highlight w:val="none"/>
        </w:rPr>
        <w:t>。</w:t>
      </w:r>
    </w:p>
    <w:p w14:paraId="2F43F21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textAlignment w:val="baseline"/>
        <w:rPr>
          <w:rFonts w:hint="eastAsia" w:ascii="宋体" w:hAnsi="宋体" w:eastAsia="宋体" w:cs="宋体"/>
          <w:b/>
          <w:sz w:val="28"/>
          <w:szCs w:val="28"/>
          <w:highlight w:val="none"/>
        </w:rPr>
      </w:pPr>
      <w:r>
        <w:rPr>
          <w:rFonts w:hint="eastAsia" w:ascii="宋体" w:hAnsi="宋体" w:eastAsia="宋体" w:cs="宋体"/>
          <w:b/>
          <w:sz w:val="28"/>
          <w:szCs w:val="28"/>
          <w:highlight w:val="none"/>
        </w:rPr>
        <w:t>二、谈判程序及评审方法和标准</w:t>
      </w:r>
    </w:p>
    <w:p w14:paraId="0525AC8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采购代理机构现场打开供应商的响应文件，谈判小组对供应商的资格性、符合性进行审查，通过审查的供应商接受谈判小组的谈判，在质量和服务相等的前提下，最后报价最低者为成交供应商。</w:t>
      </w:r>
    </w:p>
    <w:p w14:paraId="44FD27F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sz w:val="28"/>
          <w:szCs w:val="28"/>
          <w:highlight w:val="none"/>
        </w:rPr>
      </w:pPr>
      <w:r>
        <w:rPr>
          <w:rFonts w:hint="eastAsia" w:ascii="宋体" w:hAnsi="宋体" w:cs="宋体"/>
          <w:b/>
          <w:bCs/>
          <w:sz w:val="28"/>
          <w:szCs w:val="28"/>
          <w:highlight w:val="none"/>
        </w:rPr>
        <w:t>资格性、符合性审查结束后进入最后报价环节，最后报价将作为评审价。所有的响应供应商须在</w:t>
      </w:r>
      <w:r>
        <w:rPr>
          <w:rFonts w:hint="eastAsia" w:ascii="宋体" w:hAnsi="宋体" w:cs="宋体"/>
          <w:b/>
          <w:bCs/>
          <w:sz w:val="28"/>
          <w:szCs w:val="28"/>
          <w:highlight w:val="none"/>
          <w:lang w:val="en-US" w:eastAsia="zh-CN"/>
        </w:rPr>
        <w:t>20</w:t>
      </w:r>
      <w:r>
        <w:rPr>
          <w:rFonts w:hint="eastAsia" w:ascii="宋体" w:hAnsi="宋体" w:cs="宋体"/>
          <w:b/>
          <w:bCs/>
          <w:sz w:val="28"/>
          <w:szCs w:val="28"/>
          <w:highlight w:val="none"/>
        </w:rPr>
        <w:t>分钟内填写完毕并递交最后报价，未在规定时间内递交最后报价的，视作无效响应处理。</w:t>
      </w:r>
    </w:p>
    <w:p w14:paraId="6F55AE6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最后报价是供应商响应文件的有效组成部分，递交最后报价的供应商不得少于3家；只有符合《政府采购非招标采购方式管理暂行办法》第二十七条第二款规定情形的，递交最后报价的供应商可以为2家。</w:t>
      </w:r>
    </w:p>
    <w:p w14:paraId="4F42511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各供应商最后报价结束后,如谈判小组认为最后报价最低的供应商的报价明显低于其自身成本，涉嫌恶意竞争，有可能影响服务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3AAF25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评委在认真审阅响应文件的基础上，根据各响应文件的响应程度独立评判。</w:t>
      </w:r>
    </w:p>
    <w:p w14:paraId="1878CB9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（一）采购人（代表）对供应商资格进行审查。</w:t>
      </w:r>
    </w:p>
    <w:p w14:paraId="5E96094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kern w:val="0"/>
          <w:sz w:val="28"/>
          <w:szCs w:val="28"/>
          <w:highlight w:val="none"/>
        </w:rPr>
      </w:pPr>
      <w:r>
        <w:rPr>
          <w:rFonts w:hint="eastAsia" w:ascii="宋体" w:hAnsi="宋体" w:cs="宋体"/>
          <w:kern w:val="0"/>
          <w:sz w:val="28"/>
          <w:szCs w:val="28"/>
          <w:highlight w:val="none"/>
        </w:rPr>
        <w:t>供应商资格不合格的，其响应文件判定为无效响应文件。</w:t>
      </w:r>
    </w:p>
    <w:p w14:paraId="4AFB548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left"/>
        <w:rPr>
          <w:rFonts w:hint="eastAsia" w:ascii="宋体" w:hAnsi="宋体" w:cs="宋体"/>
          <w:b/>
          <w:sz w:val="28"/>
          <w:szCs w:val="28"/>
          <w:highlight w:val="none"/>
        </w:rPr>
      </w:pPr>
      <w:r>
        <w:rPr>
          <w:rFonts w:hint="eastAsia" w:ascii="宋体" w:hAnsi="宋体" w:cs="宋体"/>
          <w:b/>
          <w:sz w:val="28"/>
          <w:szCs w:val="28"/>
          <w:highlight w:val="none"/>
        </w:rPr>
        <w:t>（二）谈判小组对符合资格供应商的响应文件进行符合性审查。</w:t>
      </w:r>
    </w:p>
    <w:p w14:paraId="4D41EB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kern w:val="0"/>
          <w:sz w:val="28"/>
          <w:szCs w:val="28"/>
          <w:highlight w:val="none"/>
        </w:rPr>
        <w:t xml:space="preserve">未通过符合性审查的响应文件，将被判为不满足谈判文件实质性要求。 </w:t>
      </w:r>
    </w:p>
    <w:p w14:paraId="36F1791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val="0"/>
          <w:sz w:val="28"/>
          <w:szCs w:val="28"/>
          <w:highlight w:val="none"/>
        </w:rPr>
      </w:pPr>
      <w:r>
        <w:rPr>
          <w:rFonts w:hint="eastAsia" w:ascii="宋体" w:hAnsi="宋体" w:cs="宋体"/>
          <w:b/>
          <w:bCs w:val="0"/>
          <w:sz w:val="28"/>
          <w:szCs w:val="28"/>
          <w:highlight w:val="none"/>
        </w:rPr>
        <w:t>（</w:t>
      </w:r>
      <w:r>
        <w:rPr>
          <w:rFonts w:hint="eastAsia" w:ascii="宋体" w:hAnsi="宋体" w:cs="宋体"/>
          <w:b/>
          <w:bCs w:val="0"/>
          <w:sz w:val="28"/>
          <w:szCs w:val="28"/>
          <w:highlight w:val="none"/>
          <w:lang w:val="en-US" w:eastAsia="zh-CN"/>
        </w:rPr>
        <w:t>三</w:t>
      </w:r>
      <w:r>
        <w:rPr>
          <w:rFonts w:hint="eastAsia" w:ascii="宋体" w:hAnsi="宋体" w:cs="宋体"/>
          <w:b/>
          <w:bCs w:val="0"/>
          <w:sz w:val="28"/>
          <w:szCs w:val="28"/>
          <w:highlight w:val="none"/>
        </w:rPr>
        <w:t>）成交供应商的确定</w:t>
      </w:r>
    </w:p>
    <w:p w14:paraId="2761F18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谈判小组将从质量和服务均能满足采购文件实质性响应要求的供应商中，按照最后报价由低到高顺序推荐1名成交候选供应商，若最后报价相同时则通过抽签方式随机确定排名顺序，并编写评审报告。</w:t>
      </w:r>
    </w:p>
    <w:p w14:paraId="34A718D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采购人应按照谈判小组推荐的成交候选供应商确定成交供应商。</w:t>
      </w:r>
    </w:p>
    <w:p w14:paraId="26B8E55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当成交供应商放弃中标、因不可抗力不能履行合同、不按照谈判文件要求提交履约保证金，或者被查实存在影响中标结果的违法行为等情形，不符合中标条件的，采购人依法重新组织招标。</w:t>
      </w:r>
    </w:p>
    <w:p w14:paraId="6A0A32E0">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）公告成交结果</w:t>
      </w:r>
    </w:p>
    <w:p w14:paraId="6FE7318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自确定成交供应商之日起2个工作日内，在</w:t>
      </w:r>
      <w:r>
        <w:rPr>
          <w:rFonts w:hint="eastAsia" w:ascii="宋体" w:hAnsi="宋体" w:cs="宋体"/>
          <w:sz w:val="28"/>
          <w:szCs w:val="28"/>
          <w:highlight w:val="none"/>
          <w:lang w:eastAsia="zh-CN"/>
        </w:rPr>
        <w:t>启东市自来水厂有限公司</w:t>
      </w:r>
      <w:r>
        <w:rPr>
          <w:rFonts w:hint="eastAsia" w:ascii="宋体" w:hAnsi="宋体" w:cs="宋体"/>
          <w:sz w:val="28"/>
          <w:szCs w:val="28"/>
          <w:highlight w:val="none"/>
        </w:rPr>
        <w:t>网公告成交结果，公告期限为1个工作日。</w:t>
      </w:r>
    </w:p>
    <w:p w14:paraId="0FCC7393">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rPr>
          <w:rFonts w:hint="eastAsia" w:ascii="宋体" w:hAnsi="宋体" w:cs="宋体"/>
          <w:b/>
          <w:bCs/>
          <w:sz w:val="28"/>
          <w:szCs w:val="28"/>
          <w:highlight w:val="none"/>
        </w:rPr>
      </w:pPr>
      <w:r>
        <w:rPr>
          <w:rFonts w:hint="eastAsia" w:ascii="宋体" w:hAnsi="宋体" w:cs="宋体"/>
          <w:b/>
          <w:sz w:val="28"/>
          <w:szCs w:val="28"/>
          <w:highlight w:val="none"/>
        </w:rPr>
        <w:t>（</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r>
        <w:rPr>
          <w:rFonts w:hint="eastAsia" w:ascii="宋体" w:hAnsi="宋体" w:cs="宋体"/>
          <w:b/>
          <w:bCs/>
          <w:sz w:val="28"/>
          <w:szCs w:val="28"/>
          <w:highlight w:val="none"/>
        </w:rPr>
        <w:t>发放成交通知书</w:t>
      </w:r>
    </w:p>
    <w:p w14:paraId="4128C78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bCs/>
          <w:sz w:val="28"/>
          <w:szCs w:val="28"/>
          <w:highlight w:val="none"/>
        </w:rPr>
      </w:pPr>
      <w:r>
        <w:rPr>
          <w:rFonts w:hint="eastAsia" w:ascii="宋体" w:hAnsi="宋体" w:cs="宋体"/>
          <w:sz w:val="28"/>
          <w:szCs w:val="28"/>
          <w:highlight w:val="none"/>
        </w:rPr>
        <w:t>公告成交结果的同时，采购人</w:t>
      </w:r>
      <w:r>
        <w:rPr>
          <w:rFonts w:hint="eastAsia" w:ascii="宋体" w:hAnsi="宋体" w:cs="宋体"/>
          <w:bCs/>
          <w:sz w:val="28"/>
          <w:szCs w:val="28"/>
          <w:highlight w:val="none"/>
        </w:rPr>
        <w:t>向成交供应商发放成交通知书。</w:t>
      </w:r>
    </w:p>
    <w:p w14:paraId="7F727A9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成交通知书发出后，采购人不得违法改变成交结果，成交供应商无正当理由不得放弃成交。</w:t>
      </w:r>
    </w:p>
    <w:p w14:paraId="4B014B70">
      <w:pPr>
        <w:adjustRightInd w:val="0"/>
        <w:snapToGrid w:val="0"/>
        <w:spacing w:line="500" w:lineRule="exact"/>
        <w:ind w:firstLine="560" w:firstLineChars="200"/>
        <w:rPr>
          <w:rFonts w:hint="eastAsia" w:ascii="宋体" w:hAnsi="宋体" w:cs="宋体"/>
          <w:sz w:val="28"/>
          <w:szCs w:val="28"/>
          <w:highlight w:val="none"/>
        </w:rPr>
      </w:pPr>
    </w:p>
    <w:p w14:paraId="6D7FA733">
      <w:pPr>
        <w:adjustRightInd w:val="0"/>
        <w:snapToGrid w:val="0"/>
        <w:spacing w:line="500" w:lineRule="exact"/>
        <w:jc w:val="center"/>
        <w:outlineLvl w:val="0"/>
        <w:rPr>
          <w:rFonts w:hint="eastAsia" w:ascii="宋体" w:hAnsi="宋体" w:cs="宋体"/>
          <w:b/>
          <w:bCs/>
          <w:kern w:val="0"/>
          <w:sz w:val="28"/>
          <w:szCs w:val="28"/>
          <w:highlight w:val="none"/>
          <w:lang w:val="zh-CN"/>
        </w:rPr>
      </w:pPr>
      <w:r>
        <w:rPr>
          <w:rFonts w:hint="eastAsia" w:ascii="宋体" w:hAnsi="宋体" w:cs="宋体"/>
          <w:b/>
          <w:sz w:val="28"/>
          <w:szCs w:val="28"/>
          <w:highlight w:val="none"/>
        </w:rPr>
        <w:br w:type="page"/>
      </w:r>
      <w:r>
        <w:rPr>
          <w:rFonts w:hint="eastAsia" w:ascii="宋体" w:hAnsi="宋体" w:cs="宋体"/>
          <w:bCs/>
          <w:sz w:val="36"/>
          <w:szCs w:val="36"/>
          <w:highlight w:val="none"/>
        </w:rPr>
        <w:t>第五部分  响应文件组成</w:t>
      </w:r>
    </w:p>
    <w:p w14:paraId="3A4DDD79">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b/>
          <w:sz w:val="28"/>
          <w:szCs w:val="28"/>
          <w:highlight w:val="none"/>
        </w:rPr>
      </w:pPr>
      <w:r>
        <w:rPr>
          <w:rFonts w:hint="eastAsia" w:ascii="宋体" w:hAnsi="宋体" w:cs="宋体"/>
          <w:b/>
          <w:bCs/>
          <w:kern w:val="0"/>
          <w:sz w:val="28"/>
          <w:szCs w:val="28"/>
          <w:highlight w:val="none"/>
          <w:lang w:val="zh-CN"/>
        </w:rPr>
        <w:t>请供应商根据本</w:t>
      </w:r>
      <w:r>
        <w:rPr>
          <w:rFonts w:hint="eastAsia" w:ascii="宋体" w:hAnsi="宋体" w:cs="宋体"/>
          <w:b/>
          <w:bCs/>
          <w:kern w:val="0"/>
          <w:sz w:val="28"/>
          <w:szCs w:val="28"/>
          <w:highlight w:val="none"/>
        </w:rPr>
        <w:t>竞争性谈判</w:t>
      </w:r>
      <w:r>
        <w:rPr>
          <w:rFonts w:hint="eastAsia" w:ascii="宋体" w:hAnsi="宋体" w:cs="宋体"/>
          <w:b/>
          <w:bCs/>
          <w:kern w:val="0"/>
          <w:sz w:val="28"/>
          <w:szCs w:val="28"/>
          <w:highlight w:val="none"/>
          <w:lang w:val="zh-CN"/>
        </w:rPr>
        <w:t>文件的要求</w:t>
      </w:r>
      <w:r>
        <w:rPr>
          <w:rFonts w:hint="eastAsia" w:ascii="宋体" w:hAnsi="宋体" w:cs="宋体"/>
          <w:b/>
          <w:bCs/>
          <w:kern w:val="0"/>
          <w:sz w:val="28"/>
          <w:szCs w:val="28"/>
          <w:highlight w:val="none"/>
        </w:rPr>
        <w:t>提交</w:t>
      </w:r>
      <w:r>
        <w:rPr>
          <w:rFonts w:hint="eastAsia" w:ascii="宋体" w:hAnsi="宋体" w:cs="宋体"/>
          <w:b/>
          <w:bCs/>
          <w:kern w:val="0"/>
          <w:sz w:val="28"/>
          <w:szCs w:val="28"/>
          <w:highlight w:val="none"/>
          <w:lang w:val="zh-CN"/>
        </w:rPr>
        <w:t>响应的投标材料，</w:t>
      </w:r>
      <w:r>
        <w:rPr>
          <w:rFonts w:hint="eastAsia" w:ascii="宋体" w:hAnsi="宋体"/>
          <w:b/>
          <w:sz w:val="28"/>
          <w:szCs w:val="28"/>
          <w:highlight w:val="none"/>
        </w:rPr>
        <w:t>响应文件正本壹份、副本贰份，响应文件装订成册并密封，密封袋上标明：采购人名称、项目名称、供应商名称、响应文件名称（如：“</w:t>
      </w:r>
      <w:r>
        <w:rPr>
          <w:rFonts w:hint="eastAsia" w:ascii="宋体" w:hAnsi="宋体"/>
          <w:b/>
          <w:sz w:val="28"/>
          <w:szCs w:val="28"/>
          <w:highlight w:val="none"/>
          <w:lang w:eastAsia="zh-CN"/>
        </w:rPr>
        <w:t>资格审查证明材料</w:t>
      </w:r>
      <w:r>
        <w:rPr>
          <w:rFonts w:hint="eastAsia" w:ascii="宋体" w:hAnsi="宋体"/>
          <w:b/>
          <w:sz w:val="28"/>
          <w:szCs w:val="28"/>
          <w:highlight w:val="none"/>
        </w:rPr>
        <w:t>”、“价格标”）</w:t>
      </w:r>
      <w:r>
        <w:rPr>
          <w:rFonts w:hint="eastAsia" w:ascii="宋体" w:hAnsi="宋体"/>
          <w:b/>
          <w:sz w:val="28"/>
          <w:szCs w:val="28"/>
          <w:highlight w:val="none"/>
          <w:lang w:val="en-US" w:eastAsia="zh-CN"/>
        </w:rPr>
        <w:t>、联系方式</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日期</w:t>
      </w:r>
      <w:r>
        <w:rPr>
          <w:rFonts w:hint="eastAsia" w:ascii="宋体" w:hAnsi="宋体"/>
          <w:b/>
          <w:sz w:val="28"/>
          <w:szCs w:val="28"/>
          <w:highlight w:val="none"/>
        </w:rPr>
        <w:t>，否则视为无效投标文件。</w:t>
      </w:r>
    </w:p>
    <w:p w14:paraId="47D32945">
      <w:pPr>
        <w:keepNext w:val="0"/>
        <w:keepLines w:val="0"/>
        <w:pageBreakBefore w:val="0"/>
        <w:widowControl w:val="0"/>
        <w:kinsoku/>
        <w:wordWrap/>
        <w:overflowPunct/>
        <w:topLinePunct w:val="0"/>
        <w:autoSpaceDE/>
        <w:autoSpaceDN/>
        <w:bidi w:val="0"/>
        <w:snapToGrid w:val="0"/>
        <w:spacing w:line="500" w:lineRule="exact"/>
        <w:ind w:firstLine="562" w:firstLineChars="200"/>
        <w:contextualSpacing/>
        <w:textAlignment w:val="auto"/>
        <w:rPr>
          <w:rFonts w:hint="eastAsia" w:ascii="宋体" w:hAnsi="宋体"/>
          <w:b/>
          <w:sz w:val="28"/>
          <w:szCs w:val="28"/>
          <w:highlight w:val="none"/>
        </w:rPr>
      </w:pPr>
      <w:r>
        <w:rPr>
          <w:rFonts w:hint="eastAsia" w:ascii="宋体" w:hAnsi="宋体"/>
          <w:b/>
          <w:sz w:val="28"/>
          <w:szCs w:val="28"/>
          <w:highlight w:val="none"/>
        </w:rPr>
        <w:t>响应文件由资格审查证明材料、价格标二部分组成。</w:t>
      </w:r>
      <w:r>
        <w:rPr>
          <w:rFonts w:hint="eastAsia" w:ascii="宋体" w:hAnsi="宋体"/>
          <w:b/>
          <w:sz w:val="28"/>
          <w:szCs w:val="28"/>
          <w:highlight w:val="none"/>
          <w:lang w:val="zh-CN"/>
        </w:rPr>
        <w:t>请供应商根据本谈判文件的要求在以上</w:t>
      </w:r>
      <w:r>
        <w:rPr>
          <w:rFonts w:hint="eastAsia" w:ascii="宋体" w:hAnsi="宋体"/>
          <w:b/>
          <w:sz w:val="28"/>
          <w:szCs w:val="28"/>
          <w:highlight w:val="none"/>
        </w:rPr>
        <w:t>二部分中</w:t>
      </w:r>
      <w:r>
        <w:rPr>
          <w:rFonts w:hint="eastAsia" w:ascii="宋体" w:hAnsi="宋体"/>
          <w:b/>
          <w:sz w:val="28"/>
          <w:szCs w:val="28"/>
          <w:highlight w:val="none"/>
          <w:lang w:val="zh-CN"/>
        </w:rPr>
        <w:t>分别</w:t>
      </w:r>
      <w:r>
        <w:rPr>
          <w:rFonts w:hint="eastAsia" w:ascii="宋体" w:hAnsi="宋体"/>
          <w:b/>
          <w:sz w:val="28"/>
          <w:szCs w:val="28"/>
          <w:highlight w:val="none"/>
        </w:rPr>
        <w:t>提交</w:t>
      </w:r>
      <w:r>
        <w:rPr>
          <w:rFonts w:hint="eastAsia" w:ascii="宋体" w:hAnsi="宋体"/>
          <w:b/>
          <w:sz w:val="28"/>
          <w:szCs w:val="28"/>
          <w:highlight w:val="none"/>
          <w:lang w:val="zh-CN"/>
        </w:rPr>
        <w:t>响应的材料，</w:t>
      </w:r>
      <w:r>
        <w:rPr>
          <w:rFonts w:hint="eastAsia" w:ascii="宋体" w:hAnsi="宋体"/>
          <w:b/>
          <w:sz w:val="28"/>
          <w:szCs w:val="28"/>
          <w:highlight w:val="none"/>
        </w:rPr>
        <w:t>否则视为无效报价文件。</w:t>
      </w:r>
    </w:p>
    <w:p w14:paraId="27E5C53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lang w:val="zh-CN"/>
        </w:rPr>
        <w:t>一、资格审查证明材料（不能出现价格文件）</w:t>
      </w:r>
    </w:p>
    <w:p w14:paraId="2C0DFD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highlight w:val="none"/>
          <w:lang w:val="zh-CN"/>
        </w:rPr>
      </w:pPr>
      <w:r>
        <w:rPr>
          <w:rFonts w:hint="eastAsia" w:ascii="宋体" w:hAnsi="宋体" w:cs="宋体"/>
          <w:kern w:val="0"/>
          <w:sz w:val="28"/>
          <w:szCs w:val="28"/>
          <w:highlight w:val="none"/>
          <w:lang w:val="zh-CN"/>
        </w:rPr>
        <w:t>1.</w:t>
      </w:r>
      <w:r>
        <w:rPr>
          <w:rFonts w:hint="eastAsia" w:ascii="宋体" w:hAnsi="宋体" w:cs="宋体"/>
          <w:kern w:val="0"/>
          <w:sz w:val="28"/>
          <w:szCs w:val="28"/>
          <w:highlight w:val="none"/>
        </w:rPr>
        <w:t>投标人符合</w:t>
      </w:r>
      <w:r>
        <w:rPr>
          <w:rFonts w:hint="eastAsia" w:ascii="宋体" w:hAnsi="宋体" w:cs="宋体"/>
          <w:kern w:val="0"/>
          <w:sz w:val="28"/>
          <w:szCs w:val="28"/>
          <w:highlight w:val="none"/>
          <w:lang w:eastAsia="zh-CN"/>
        </w:rPr>
        <w:t>《中华人民共和国政府采购法》</w:t>
      </w:r>
      <w:r>
        <w:rPr>
          <w:rFonts w:hint="eastAsia" w:ascii="宋体" w:hAnsi="宋体" w:cs="宋体"/>
          <w:kern w:val="0"/>
          <w:sz w:val="28"/>
          <w:szCs w:val="28"/>
          <w:highlight w:val="none"/>
        </w:rPr>
        <w:t>第二十二条规定条件的声明函</w:t>
      </w:r>
      <w:r>
        <w:rPr>
          <w:rFonts w:hint="eastAsia" w:ascii="宋体" w:hAnsi="宋体" w:cs="宋体"/>
          <w:kern w:val="0"/>
          <w:sz w:val="28"/>
          <w:szCs w:val="28"/>
          <w:highlight w:val="none"/>
          <w:lang w:val="zh-CN"/>
        </w:rPr>
        <w:t>（格式见附件1）（如分公司参加投标的，另需提供总公司的授权证明）；</w:t>
      </w:r>
    </w:p>
    <w:p w14:paraId="48E3073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highlight w:val="none"/>
          <w:lang w:val="zh-CN"/>
        </w:rPr>
      </w:pPr>
      <w:r>
        <w:rPr>
          <w:rFonts w:hint="eastAsia" w:ascii="宋体" w:hAnsi="宋体" w:cs="宋体"/>
          <w:kern w:val="0"/>
          <w:sz w:val="28"/>
          <w:szCs w:val="28"/>
          <w:highlight w:val="none"/>
        </w:rPr>
        <w:t>2</w:t>
      </w:r>
      <w:r>
        <w:rPr>
          <w:rFonts w:hint="eastAsia" w:ascii="宋体" w:hAnsi="宋体" w:cs="宋体"/>
          <w:kern w:val="0"/>
          <w:sz w:val="28"/>
          <w:szCs w:val="28"/>
          <w:highlight w:val="none"/>
          <w:lang w:val="zh-CN"/>
        </w:rPr>
        <w:t>.法定代表人身份证明书</w:t>
      </w:r>
      <w:r>
        <w:rPr>
          <w:rFonts w:hint="eastAsia" w:ascii="宋体" w:hAnsi="宋体" w:cs="宋体"/>
          <w:kern w:val="0"/>
          <w:sz w:val="28"/>
          <w:szCs w:val="28"/>
          <w:highlight w:val="none"/>
        </w:rPr>
        <w:t>及身份证正反面复印件</w:t>
      </w:r>
      <w:r>
        <w:rPr>
          <w:rFonts w:hint="eastAsia" w:ascii="宋体" w:hAnsi="宋体" w:cs="宋体"/>
          <w:kern w:val="0"/>
          <w:sz w:val="28"/>
          <w:szCs w:val="28"/>
          <w:highlight w:val="none"/>
          <w:lang w:val="zh-CN"/>
        </w:rPr>
        <w:t>（格式见附件2）；</w:t>
      </w:r>
    </w:p>
    <w:p w14:paraId="3361482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highlight w:val="none"/>
          <w:lang w:val="zh-CN"/>
        </w:rPr>
      </w:pPr>
      <w:r>
        <w:rPr>
          <w:rFonts w:hint="eastAsia" w:ascii="宋体" w:hAnsi="宋体" w:cs="宋体"/>
          <w:kern w:val="0"/>
          <w:sz w:val="28"/>
          <w:szCs w:val="28"/>
          <w:highlight w:val="none"/>
        </w:rPr>
        <w:t>3</w:t>
      </w:r>
      <w:r>
        <w:rPr>
          <w:rFonts w:hint="eastAsia" w:ascii="宋体" w:hAnsi="宋体" w:cs="宋体"/>
          <w:kern w:val="0"/>
          <w:sz w:val="28"/>
          <w:szCs w:val="28"/>
          <w:highlight w:val="none"/>
          <w:lang w:val="zh-CN"/>
        </w:rPr>
        <w:t>.法定代表人授权委托书原件，谈判代表本人身份证</w:t>
      </w:r>
      <w:r>
        <w:rPr>
          <w:rFonts w:hint="eastAsia" w:ascii="宋体" w:hAnsi="宋体" w:cs="宋体"/>
          <w:kern w:val="0"/>
          <w:sz w:val="28"/>
          <w:szCs w:val="28"/>
          <w:highlight w:val="none"/>
          <w:lang w:val="en-US" w:eastAsia="zh-CN"/>
        </w:rPr>
        <w:t>正反面</w:t>
      </w:r>
      <w:r>
        <w:rPr>
          <w:rFonts w:hint="eastAsia" w:ascii="宋体" w:hAnsi="宋体" w:cs="宋体"/>
          <w:kern w:val="0"/>
          <w:sz w:val="28"/>
          <w:szCs w:val="28"/>
          <w:highlight w:val="none"/>
          <w:lang w:val="zh-CN"/>
        </w:rPr>
        <w:t>复印件（格式见附件3，法定代表人参加的，无需提供授权委托书）；</w:t>
      </w:r>
    </w:p>
    <w:p w14:paraId="5544EEC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rPr>
        <w:t>4.</w:t>
      </w:r>
      <w:r>
        <w:rPr>
          <w:rFonts w:hint="eastAsia" w:ascii="宋体" w:hAnsi="宋体" w:cs="宋体"/>
          <w:kern w:val="0"/>
          <w:sz w:val="28"/>
          <w:szCs w:val="28"/>
          <w:highlight w:val="none"/>
          <w:lang w:val="en-US" w:eastAsia="zh-CN"/>
        </w:rPr>
        <w:t>投标供应商合法有效的营业执照；</w:t>
      </w:r>
    </w:p>
    <w:p w14:paraId="78BE4A1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5.供应商提供①随车吊、吊车照片及其驾驶员驾驶证（随车吊：B2及以上；吊车：A2及以上）、上岗证、操作证；②随车吊、吊车行驶证（随车吊、吊车非本人的，则需要提供租赁合同）且车辆保险手续完备（提供保单）；</w:t>
      </w:r>
    </w:p>
    <w:p w14:paraId="3EE279DF">
      <w:pPr>
        <w:keepNext w:val="0"/>
        <w:keepLines w:val="0"/>
        <w:pageBreakBefore w:val="0"/>
        <w:widowControl w:val="0"/>
        <w:kinsoku/>
        <w:wordWrap/>
        <w:overflowPunct/>
        <w:topLinePunct w:val="0"/>
        <w:autoSpaceDE/>
        <w:autoSpaceDN/>
        <w:bidi w:val="0"/>
        <w:adjustRightInd w:val="0"/>
        <w:snapToGrid w:val="0"/>
        <w:spacing w:line="500" w:lineRule="exact"/>
        <w:ind w:left="559" w:leftChars="266" w:firstLine="0" w:firstLineChars="0"/>
        <w:textAlignment w:val="auto"/>
        <w:rPr>
          <w:rFonts w:hint="default" w:ascii="宋体" w:hAnsi="宋体" w:cs="宋体"/>
          <w:sz w:val="28"/>
          <w:szCs w:val="28"/>
          <w:highlight w:val="none"/>
          <w:lang w:val="en-US" w:eastAsia="zh-CN"/>
        </w:rPr>
      </w:pPr>
      <w:r>
        <w:rPr>
          <w:rFonts w:hint="eastAsia" w:ascii="宋体" w:hAnsi="宋体" w:cs="宋体"/>
          <w:kern w:val="0"/>
          <w:sz w:val="28"/>
          <w:szCs w:val="28"/>
          <w:highlight w:val="none"/>
          <w:lang w:val="en-US" w:eastAsia="zh-CN"/>
        </w:rPr>
        <w:t>（注：其中驾驶证、行驶证均需提供项目需求中相应型号的有效证件。）</w:t>
      </w:r>
      <w:bookmarkStart w:id="89" w:name="_GoBack"/>
      <w:bookmarkEnd w:id="89"/>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w:t>
      </w:r>
      <w:r>
        <w:rPr>
          <w:rFonts w:hint="eastAsia" w:ascii="宋体" w:hAnsi="宋体" w:cs="宋体"/>
          <w:sz w:val="28"/>
          <w:szCs w:val="28"/>
          <w:highlight w:val="none"/>
        </w:rPr>
        <w:t>参加政府采购活动前3年内在经营活动中没有重大违法记录和失信记录的书面声明（格式见附件4）</w:t>
      </w:r>
      <w:r>
        <w:rPr>
          <w:rFonts w:hint="eastAsia" w:ascii="宋体" w:hAnsi="宋体" w:cs="宋体"/>
          <w:sz w:val="28"/>
          <w:szCs w:val="28"/>
          <w:highlight w:val="none"/>
          <w:lang w:eastAsia="zh-CN"/>
        </w:rPr>
        <w:t>；</w:t>
      </w:r>
    </w:p>
    <w:p w14:paraId="7804A26B">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7.未被“信用中国”网站列入失信被执行人、重大税收违法案件当事人名单、政府采购严重违法失信行为记录名单(提供网页截图)；</w:t>
      </w:r>
    </w:p>
    <w:p w14:paraId="4161A143">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宋体"/>
          <w:sz w:val="28"/>
          <w:szCs w:val="28"/>
          <w:highlight w:val="none"/>
          <w:lang w:val="zh-CN"/>
        </w:rPr>
      </w:pPr>
      <w:r>
        <w:rPr>
          <w:rFonts w:hint="eastAsia" w:ascii="宋体" w:hAnsi="宋体" w:cs="宋体"/>
          <w:sz w:val="28"/>
          <w:szCs w:val="28"/>
          <w:highlight w:val="none"/>
          <w:lang w:val="en-US" w:eastAsia="zh-CN"/>
        </w:rPr>
        <w:t>8.</w:t>
      </w:r>
      <w:r>
        <w:rPr>
          <w:rFonts w:hint="eastAsia" w:ascii="宋体" w:hAnsi="宋体" w:cs="宋体"/>
          <w:sz w:val="28"/>
          <w:szCs w:val="28"/>
          <w:highlight w:val="none"/>
          <w:lang w:val="zh-CN" w:eastAsia="zh-CN"/>
        </w:rPr>
        <w:t>其它需要提交的资格审查证明材料。</w:t>
      </w:r>
    </w:p>
    <w:p w14:paraId="08181644">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highlight w:val="none"/>
        </w:rPr>
      </w:pPr>
      <w:r>
        <w:rPr>
          <w:rFonts w:hint="eastAsia" w:ascii="宋体" w:hAnsi="宋体" w:cs="宋体"/>
          <w:b/>
          <w:bCs/>
          <w:kern w:val="0"/>
          <w:sz w:val="28"/>
          <w:szCs w:val="28"/>
          <w:highlight w:val="none"/>
        </w:rPr>
        <w:t>注意：上述要求提供复印件的均需加盖单位公章，否则资格审查不通过。</w:t>
      </w:r>
    </w:p>
    <w:p w14:paraId="386590B8">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rPr>
        <w:t>二</w:t>
      </w:r>
      <w:r>
        <w:rPr>
          <w:rFonts w:hint="eastAsia" w:ascii="宋体" w:hAnsi="宋体" w:cs="宋体"/>
          <w:b/>
          <w:bCs/>
          <w:kern w:val="0"/>
          <w:sz w:val="28"/>
          <w:szCs w:val="28"/>
          <w:highlight w:val="none"/>
          <w:lang w:val="zh-CN"/>
        </w:rPr>
        <w:t>、价格响应文件</w:t>
      </w:r>
    </w:p>
    <w:p w14:paraId="0778782A">
      <w:pPr>
        <w:pStyle w:val="17"/>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1.</w:t>
      </w:r>
      <w:r>
        <w:rPr>
          <w:rFonts w:hint="eastAsia" w:ascii="宋体" w:hAnsi="宋体" w:cs="宋体"/>
          <w:sz w:val="28"/>
          <w:szCs w:val="28"/>
          <w:highlight w:val="none"/>
        </w:rPr>
        <w:t>谈判响应报价表</w:t>
      </w:r>
      <w:r>
        <w:rPr>
          <w:rFonts w:hint="eastAsia" w:ascii="宋体" w:hAnsi="宋体" w:cs="宋体"/>
          <w:sz w:val="28"/>
          <w:szCs w:val="28"/>
          <w:highlight w:val="none"/>
          <w:lang w:val="zh-CN"/>
        </w:rPr>
        <w:t>（格式见附件</w:t>
      </w:r>
      <w:r>
        <w:rPr>
          <w:rFonts w:hint="eastAsia" w:ascii="宋体" w:hAnsi="宋体" w:cs="宋体"/>
          <w:sz w:val="28"/>
          <w:szCs w:val="28"/>
          <w:highlight w:val="none"/>
        </w:rPr>
        <w:t>5</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6</w:t>
      </w:r>
      <w:r>
        <w:rPr>
          <w:rFonts w:hint="eastAsia" w:ascii="宋体" w:hAnsi="宋体" w:cs="宋体"/>
          <w:sz w:val="28"/>
          <w:szCs w:val="28"/>
          <w:highlight w:val="none"/>
          <w:lang w:val="zh-CN"/>
        </w:rPr>
        <w:t>）。</w:t>
      </w:r>
    </w:p>
    <w:p w14:paraId="7AC9D116">
      <w:pPr>
        <w:pStyle w:val="17"/>
        <w:keepNext w:val="0"/>
        <w:keepLines w:val="0"/>
        <w:pageBreakBefore w:val="0"/>
        <w:widowControl w:val="0"/>
        <w:kinsoku/>
        <w:wordWrap/>
        <w:overflowPunct/>
        <w:topLinePunct w:val="0"/>
        <w:autoSpaceDE/>
        <w:autoSpaceDN/>
        <w:bidi w:val="0"/>
        <w:snapToGrid w:val="0"/>
        <w:spacing w:line="500" w:lineRule="exact"/>
        <w:ind w:firstLine="640" w:firstLineChars="200"/>
        <w:textAlignment w:val="auto"/>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br w:type="page"/>
      </w:r>
      <w:r>
        <w:rPr>
          <w:rFonts w:hint="eastAsia" w:ascii="宋体" w:hAnsi="宋体" w:cs="宋体"/>
          <w:kern w:val="0"/>
          <w:sz w:val="32"/>
          <w:szCs w:val="32"/>
          <w:highlight w:val="none"/>
          <w:lang w:val="zh-CN"/>
        </w:rPr>
        <w:t>附件1</w:t>
      </w:r>
    </w:p>
    <w:p w14:paraId="2E20B408">
      <w:pPr>
        <w:jc w:val="center"/>
        <w:rPr>
          <w:rFonts w:hint="eastAsia" w:ascii="宋体" w:hAnsi="宋体" w:cs="宋体"/>
          <w:b/>
          <w:sz w:val="30"/>
          <w:szCs w:val="30"/>
          <w:highlight w:val="none"/>
        </w:rPr>
      </w:pPr>
      <w:r>
        <w:rPr>
          <w:rFonts w:hint="eastAsia" w:ascii="宋体" w:hAnsi="宋体" w:cs="宋体"/>
          <w:b/>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cs="宋体"/>
          <w:b/>
          <w:sz w:val="30"/>
          <w:szCs w:val="30"/>
          <w:highlight w:val="none"/>
        </w:rPr>
        <w:t>第二十二条规定条件的声明函</w:t>
      </w:r>
    </w:p>
    <w:p w14:paraId="54E2E174">
      <w:pPr>
        <w:spacing w:line="460" w:lineRule="exact"/>
        <w:rPr>
          <w:rFonts w:hint="eastAsia" w:ascii="宋体" w:hAnsi="宋体" w:cs="宋体"/>
          <w:b/>
          <w:bCs/>
          <w:sz w:val="44"/>
          <w:szCs w:val="44"/>
          <w:highlight w:val="none"/>
        </w:rPr>
      </w:pPr>
      <w:r>
        <w:rPr>
          <w:rFonts w:hint="eastAsia" w:ascii="宋体" w:hAnsi="宋体" w:cs="宋体"/>
          <w:b/>
          <w:bCs/>
          <w:sz w:val="24"/>
          <w:szCs w:val="21"/>
          <w:highlight w:val="none"/>
        </w:rPr>
        <w:t xml:space="preserve">                       </w:t>
      </w:r>
      <w:r>
        <w:rPr>
          <w:rFonts w:hint="eastAsia" w:ascii="宋体" w:hAnsi="宋体" w:cs="宋体"/>
          <w:b/>
          <w:bCs/>
          <w:sz w:val="44"/>
          <w:szCs w:val="44"/>
          <w:highlight w:val="none"/>
        </w:rPr>
        <w:t xml:space="preserve">   </w:t>
      </w:r>
    </w:p>
    <w:p w14:paraId="022B83FB">
      <w:pPr>
        <w:spacing w:line="520" w:lineRule="exact"/>
        <w:ind w:firstLine="480" w:firstLineChars="200"/>
        <w:rPr>
          <w:rFonts w:hint="eastAsia" w:ascii="宋体" w:hAnsi="宋体" w:cs="宋体"/>
          <w:b/>
          <w:bCs/>
          <w:sz w:val="24"/>
          <w:highlight w:val="none"/>
        </w:rPr>
      </w:pPr>
      <w:r>
        <w:rPr>
          <w:rFonts w:hint="eastAsia" w:ascii="宋体" w:hAnsi="宋体" w:cs="宋体"/>
          <w:bCs/>
          <w:sz w:val="24"/>
          <w:highlight w:val="none"/>
        </w:rPr>
        <w:t>我单位参加</w:t>
      </w:r>
      <w:r>
        <w:rPr>
          <w:rFonts w:hint="eastAsia" w:ascii="宋体" w:hAnsi="宋体" w:cs="宋体"/>
          <w:bCs/>
          <w:sz w:val="24"/>
          <w:szCs w:val="21"/>
          <w:highlight w:val="none"/>
          <w:u w:val="single"/>
        </w:rPr>
        <w:t>_________________</w:t>
      </w:r>
      <w:r>
        <w:rPr>
          <w:rFonts w:hint="eastAsia" w:ascii="宋体" w:hAnsi="宋体" w:cs="宋体"/>
          <w:bCs/>
          <w:sz w:val="24"/>
          <w:szCs w:val="21"/>
          <w:highlight w:val="none"/>
        </w:rPr>
        <w:t>（项目名称）投标活动。针对《中华人民共和国政府采购法》第二十二条规定做出如下声明：</w:t>
      </w:r>
    </w:p>
    <w:p w14:paraId="60125B79">
      <w:pPr>
        <w:spacing w:line="520" w:lineRule="exact"/>
        <w:ind w:firstLine="482"/>
        <w:rPr>
          <w:rFonts w:hint="eastAsia" w:ascii="宋体" w:hAnsi="宋体" w:cs="宋体"/>
          <w:sz w:val="24"/>
          <w:highlight w:val="none"/>
        </w:rPr>
      </w:pPr>
      <w:r>
        <w:rPr>
          <w:rFonts w:hint="eastAsia" w:ascii="宋体" w:hAnsi="宋体" w:cs="宋体"/>
          <w:bCs/>
          <w:sz w:val="24"/>
          <w:szCs w:val="21"/>
          <w:highlight w:val="none"/>
        </w:rPr>
        <w:t>1.我单位具有独立承担民事责任的能力；</w:t>
      </w:r>
    </w:p>
    <w:p w14:paraId="02C5E2E1">
      <w:pPr>
        <w:spacing w:line="520" w:lineRule="exact"/>
        <w:ind w:firstLine="482"/>
        <w:rPr>
          <w:rFonts w:hint="eastAsia" w:ascii="宋体" w:hAnsi="宋体" w:cs="宋体"/>
          <w:sz w:val="24"/>
          <w:highlight w:val="none"/>
        </w:rPr>
      </w:pPr>
      <w:r>
        <w:rPr>
          <w:rFonts w:hint="eastAsia" w:ascii="宋体" w:hAnsi="宋体" w:cs="宋体"/>
          <w:sz w:val="24"/>
          <w:highlight w:val="none"/>
        </w:rPr>
        <w:t>2.我单位具有良好的商业信誉和健全的财务会计制度；</w:t>
      </w:r>
    </w:p>
    <w:p w14:paraId="6B8BD634">
      <w:pPr>
        <w:spacing w:line="520" w:lineRule="exact"/>
        <w:ind w:firstLine="482"/>
        <w:rPr>
          <w:rFonts w:hint="eastAsia" w:ascii="宋体" w:hAnsi="宋体" w:cs="宋体"/>
          <w:sz w:val="24"/>
          <w:highlight w:val="none"/>
        </w:rPr>
      </w:pPr>
      <w:r>
        <w:rPr>
          <w:rFonts w:hint="eastAsia" w:ascii="宋体" w:hAnsi="宋体" w:cs="宋体"/>
          <w:sz w:val="24"/>
          <w:highlight w:val="none"/>
        </w:rPr>
        <w:t>3.我单位具有履行合同所必需的设备和专业技术能力；</w:t>
      </w:r>
    </w:p>
    <w:p w14:paraId="3CEBAAB7">
      <w:pPr>
        <w:spacing w:line="520" w:lineRule="exact"/>
        <w:ind w:firstLine="482"/>
        <w:rPr>
          <w:rFonts w:hint="eastAsia" w:ascii="宋体" w:hAnsi="宋体" w:cs="宋体"/>
          <w:sz w:val="24"/>
          <w:highlight w:val="none"/>
        </w:rPr>
      </w:pPr>
      <w:r>
        <w:rPr>
          <w:rFonts w:hint="eastAsia" w:ascii="宋体" w:hAnsi="宋体" w:cs="宋体"/>
          <w:sz w:val="24"/>
          <w:highlight w:val="none"/>
        </w:rPr>
        <w:t>4.我单位有依法缴纳税收和社会保障资金的良好记录；</w:t>
      </w:r>
    </w:p>
    <w:p w14:paraId="72402B0F">
      <w:pPr>
        <w:spacing w:line="520" w:lineRule="exact"/>
        <w:ind w:firstLine="482"/>
        <w:rPr>
          <w:rFonts w:hint="eastAsia" w:ascii="宋体" w:hAnsi="宋体" w:cs="宋体"/>
          <w:sz w:val="24"/>
          <w:highlight w:val="none"/>
        </w:rPr>
      </w:pPr>
      <w:r>
        <w:rPr>
          <w:rFonts w:hint="eastAsia" w:ascii="宋体" w:hAnsi="宋体" w:cs="宋体"/>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1824A38">
      <w:pPr>
        <w:spacing w:line="520" w:lineRule="exact"/>
        <w:ind w:firstLine="482"/>
        <w:rPr>
          <w:rFonts w:hint="eastAsia" w:ascii="宋体" w:hAnsi="宋体" w:cs="宋体"/>
          <w:sz w:val="24"/>
          <w:highlight w:val="none"/>
        </w:rPr>
      </w:pPr>
      <w:r>
        <w:rPr>
          <w:rFonts w:hint="eastAsia" w:ascii="宋体" w:hAnsi="宋体" w:cs="宋体"/>
          <w:sz w:val="24"/>
          <w:highlight w:val="none"/>
        </w:rPr>
        <w:t>6.我单位满足法律、行政法规规定的其他条件。</w:t>
      </w:r>
    </w:p>
    <w:p w14:paraId="525FD345">
      <w:pPr>
        <w:spacing w:line="500" w:lineRule="exact"/>
        <w:ind w:firstLine="482"/>
        <w:rPr>
          <w:rFonts w:hint="eastAsia" w:ascii="宋体" w:hAnsi="宋体" w:cs="宋体"/>
          <w:sz w:val="24"/>
          <w:highlight w:val="none"/>
        </w:rPr>
      </w:pPr>
    </w:p>
    <w:p w14:paraId="1D6036F3">
      <w:pPr>
        <w:spacing w:line="500" w:lineRule="exact"/>
        <w:rPr>
          <w:rFonts w:hint="eastAsia" w:ascii="宋体" w:hAnsi="宋体" w:cs="宋体"/>
          <w:bCs/>
          <w:sz w:val="24"/>
          <w:szCs w:val="21"/>
          <w:highlight w:val="none"/>
        </w:rPr>
      </w:pPr>
    </w:p>
    <w:p w14:paraId="6F9CAB72">
      <w:pPr>
        <w:spacing w:line="500" w:lineRule="exact"/>
        <w:rPr>
          <w:rFonts w:hint="eastAsia" w:ascii="宋体" w:hAnsi="宋体" w:cs="宋体"/>
          <w:bCs/>
          <w:sz w:val="24"/>
          <w:szCs w:val="21"/>
          <w:highlight w:val="none"/>
        </w:rPr>
      </w:pPr>
    </w:p>
    <w:p w14:paraId="487F790A">
      <w:pPr>
        <w:spacing w:line="460" w:lineRule="exact"/>
        <w:jc w:val="center"/>
        <w:rPr>
          <w:rFonts w:hint="eastAsia" w:ascii="宋体" w:hAnsi="宋体" w:cs="宋体"/>
          <w:bCs/>
          <w:sz w:val="24"/>
          <w:szCs w:val="21"/>
          <w:highlight w:val="none"/>
        </w:rPr>
      </w:pPr>
      <w:r>
        <w:rPr>
          <w:rFonts w:hint="eastAsia" w:ascii="宋体" w:hAnsi="宋体" w:cs="宋体"/>
          <w:bCs/>
          <w:sz w:val="24"/>
          <w:szCs w:val="21"/>
          <w:highlight w:val="none"/>
        </w:rPr>
        <w:t xml:space="preserve">                                             承诺人名称（公章）：</w:t>
      </w:r>
    </w:p>
    <w:p w14:paraId="5D886C5E">
      <w:pPr>
        <w:spacing w:line="460" w:lineRule="exact"/>
        <w:jc w:val="right"/>
        <w:rPr>
          <w:rFonts w:hint="eastAsia" w:ascii="宋体" w:hAnsi="宋体" w:cs="宋体"/>
          <w:bCs/>
          <w:sz w:val="24"/>
          <w:szCs w:val="21"/>
          <w:highlight w:val="none"/>
        </w:rPr>
      </w:pPr>
      <w:r>
        <w:rPr>
          <w:rFonts w:hint="eastAsia" w:ascii="宋体" w:hAnsi="宋体" w:cs="宋体"/>
          <w:bCs/>
          <w:sz w:val="24"/>
          <w:szCs w:val="21"/>
          <w:highlight w:val="none"/>
        </w:rPr>
        <w:t xml:space="preserve">    </w:t>
      </w:r>
    </w:p>
    <w:p w14:paraId="25DB4BD5">
      <w:pPr>
        <w:spacing w:line="460" w:lineRule="exact"/>
        <w:jc w:val="right"/>
        <w:rPr>
          <w:rFonts w:hint="eastAsia" w:ascii="宋体" w:hAnsi="宋体" w:cs="宋体"/>
          <w:bCs/>
          <w:sz w:val="24"/>
          <w:szCs w:val="21"/>
          <w:highlight w:val="none"/>
        </w:rPr>
      </w:pPr>
      <w:r>
        <w:rPr>
          <w:rFonts w:hint="eastAsia" w:ascii="宋体" w:hAnsi="宋体" w:cs="宋体"/>
          <w:bCs/>
          <w:sz w:val="24"/>
          <w:szCs w:val="21"/>
          <w:highlight w:val="none"/>
        </w:rPr>
        <w:t xml:space="preserve">                                 日期：</w:t>
      </w:r>
      <w:r>
        <w:rPr>
          <w:rFonts w:hint="eastAsia" w:ascii="宋体" w:hAnsi="宋体" w:cs="宋体"/>
          <w:bCs/>
          <w:sz w:val="24"/>
          <w:szCs w:val="21"/>
          <w:highlight w:val="none"/>
          <w:u w:val="single"/>
          <w:lang w:val="en-US" w:eastAsia="zh-CN"/>
        </w:rPr>
        <w:t xml:space="preserve">      </w:t>
      </w:r>
      <w:r>
        <w:rPr>
          <w:rFonts w:hint="eastAsia" w:ascii="宋体" w:hAnsi="宋体" w:cs="宋体"/>
          <w:bCs/>
          <w:sz w:val="24"/>
          <w:szCs w:val="21"/>
          <w:highlight w:val="none"/>
        </w:rPr>
        <w:t>年</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月</w:t>
      </w:r>
      <w:r>
        <w:rPr>
          <w:rFonts w:hint="eastAsia" w:ascii="宋体" w:hAnsi="宋体" w:cs="宋体"/>
          <w:bCs/>
          <w:sz w:val="24"/>
          <w:szCs w:val="21"/>
          <w:highlight w:val="none"/>
          <w:u w:val="single"/>
        </w:rPr>
        <w:t xml:space="preserve">    </w:t>
      </w:r>
      <w:r>
        <w:rPr>
          <w:rFonts w:hint="eastAsia" w:ascii="宋体" w:hAnsi="宋体" w:cs="宋体"/>
          <w:bCs/>
          <w:sz w:val="24"/>
          <w:szCs w:val="21"/>
          <w:highlight w:val="none"/>
        </w:rPr>
        <w:t>日</w:t>
      </w:r>
    </w:p>
    <w:p w14:paraId="06C1CE98">
      <w:pPr>
        <w:snapToGrid w:val="0"/>
        <w:spacing w:line="400" w:lineRule="exact"/>
        <w:contextualSpacing/>
        <w:rPr>
          <w:rFonts w:hint="eastAsia" w:ascii="宋体" w:hAnsi="宋体" w:cs="宋体"/>
          <w:b/>
          <w:kern w:val="0"/>
          <w:sz w:val="28"/>
          <w:szCs w:val="28"/>
          <w:highlight w:val="none"/>
          <w:lang w:val="zh-CN"/>
        </w:rPr>
      </w:pPr>
    </w:p>
    <w:p w14:paraId="75E5F77A">
      <w:pPr>
        <w:snapToGrid w:val="0"/>
        <w:spacing w:line="400" w:lineRule="exact"/>
        <w:contextualSpacing/>
        <w:rPr>
          <w:rFonts w:hint="eastAsia" w:ascii="宋体" w:hAnsi="宋体" w:cs="宋体"/>
          <w:b/>
          <w:kern w:val="0"/>
          <w:sz w:val="28"/>
          <w:szCs w:val="28"/>
          <w:highlight w:val="none"/>
          <w:lang w:val="zh-CN"/>
        </w:rPr>
      </w:pPr>
    </w:p>
    <w:p w14:paraId="38431E46">
      <w:pPr>
        <w:snapToGrid w:val="0"/>
        <w:spacing w:line="400" w:lineRule="exact"/>
        <w:contextualSpacing/>
        <w:rPr>
          <w:rFonts w:hint="eastAsia" w:ascii="宋体" w:hAnsi="宋体" w:cs="宋体"/>
          <w:b/>
          <w:kern w:val="0"/>
          <w:sz w:val="28"/>
          <w:szCs w:val="28"/>
          <w:highlight w:val="none"/>
          <w:lang w:val="zh-CN"/>
        </w:rPr>
      </w:pPr>
    </w:p>
    <w:p w14:paraId="0ED1E9D2">
      <w:pPr>
        <w:snapToGrid w:val="0"/>
        <w:spacing w:line="400" w:lineRule="exact"/>
        <w:contextualSpacing/>
        <w:rPr>
          <w:rFonts w:hint="eastAsia" w:ascii="宋体" w:hAnsi="宋体" w:cs="宋体"/>
          <w:kern w:val="0"/>
          <w:sz w:val="32"/>
          <w:szCs w:val="32"/>
          <w:highlight w:val="none"/>
          <w:lang w:val="zh-CN"/>
        </w:rPr>
      </w:pPr>
    </w:p>
    <w:p w14:paraId="443EC592">
      <w:pPr>
        <w:snapToGrid w:val="0"/>
        <w:spacing w:line="400" w:lineRule="exact"/>
        <w:contextualSpacing/>
        <w:rPr>
          <w:rFonts w:hint="eastAsia" w:ascii="宋体" w:hAnsi="宋体" w:cs="宋体"/>
          <w:kern w:val="0"/>
          <w:sz w:val="32"/>
          <w:szCs w:val="32"/>
          <w:highlight w:val="none"/>
          <w:lang w:val="zh-CN"/>
        </w:rPr>
      </w:pPr>
    </w:p>
    <w:p w14:paraId="243C2ABE">
      <w:pPr>
        <w:snapToGrid w:val="0"/>
        <w:spacing w:line="400" w:lineRule="exact"/>
        <w:contextualSpacing/>
        <w:rPr>
          <w:rFonts w:hint="eastAsia" w:ascii="宋体" w:hAnsi="宋体" w:cs="宋体"/>
          <w:kern w:val="0"/>
          <w:sz w:val="32"/>
          <w:szCs w:val="32"/>
          <w:highlight w:val="none"/>
          <w:lang w:val="zh-CN"/>
        </w:rPr>
      </w:pPr>
    </w:p>
    <w:p w14:paraId="506C928F">
      <w:pPr>
        <w:snapToGrid w:val="0"/>
        <w:spacing w:line="400" w:lineRule="exact"/>
        <w:contextualSpacing/>
        <w:rPr>
          <w:rFonts w:hint="eastAsia" w:ascii="宋体" w:hAnsi="宋体" w:cs="宋体"/>
          <w:kern w:val="0"/>
          <w:sz w:val="32"/>
          <w:szCs w:val="32"/>
          <w:highlight w:val="none"/>
          <w:lang w:val="zh-CN"/>
        </w:rPr>
        <w:sectPr>
          <w:pgSz w:w="11907" w:h="16839"/>
          <w:pgMar w:top="1440" w:right="1417" w:bottom="1440" w:left="1417" w:header="720" w:footer="720" w:gutter="0"/>
          <w:cols w:space="720" w:num="1"/>
          <w:docGrid w:linePitch="286" w:charSpace="0"/>
        </w:sectPr>
      </w:pPr>
    </w:p>
    <w:p w14:paraId="1B4F8F22">
      <w:pPr>
        <w:snapToGrid w:val="0"/>
        <w:spacing w:line="400" w:lineRule="exact"/>
        <w:contextualSpacing/>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t>附件2</w:t>
      </w:r>
    </w:p>
    <w:p w14:paraId="02B955D0">
      <w:pPr>
        <w:spacing w:line="56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法定代表人身份证明</w:t>
      </w:r>
    </w:p>
    <w:p w14:paraId="4499A8DB">
      <w:pPr>
        <w:spacing w:line="480" w:lineRule="exact"/>
        <w:rPr>
          <w:rFonts w:hint="eastAsia" w:ascii="宋体" w:hAnsi="宋体" w:cs="宋体"/>
          <w:sz w:val="24"/>
          <w:highlight w:val="none"/>
        </w:rPr>
      </w:pPr>
    </w:p>
    <w:p w14:paraId="6E2EA2EA">
      <w:pPr>
        <w:spacing w:line="480" w:lineRule="exact"/>
        <w:ind w:firstLine="48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先生/女士，身份证号码：</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60DB5217">
      <w:pPr>
        <w:spacing w:line="480" w:lineRule="exact"/>
        <w:ind w:firstLine="480"/>
        <w:rPr>
          <w:rFonts w:hint="eastAsia" w:ascii="宋体" w:hAnsi="宋体" w:cs="宋体"/>
          <w:sz w:val="24"/>
          <w:highlight w:val="none"/>
        </w:rPr>
      </w:pPr>
    </w:p>
    <w:p w14:paraId="4401C2DE">
      <w:pPr>
        <w:spacing w:after="120"/>
        <w:rPr>
          <w:rFonts w:hint="eastAsia" w:ascii="宋体" w:hAnsi="宋体" w:cs="宋体"/>
          <w:szCs w:val="20"/>
          <w:highlight w:val="none"/>
        </w:rPr>
      </w:pPr>
    </w:p>
    <w:p w14:paraId="60476057">
      <w:pPr>
        <w:adjustRightInd w:val="0"/>
        <w:spacing w:line="480" w:lineRule="auto"/>
        <w:ind w:left="4935" w:leftChars="1650" w:hanging="1470" w:hangingChars="700"/>
        <w:rPr>
          <w:rFonts w:hint="eastAsia" w:ascii="宋体" w:hAnsi="宋体" w:cs="宋体"/>
          <w:sz w:val="24"/>
          <w:highlight w:val="none"/>
        </w:rPr>
      </w:pPr>
      <w:r>
        <w:rPr>
          <w:rFonts w:hint="eastAsia" w:ascii="宋体" w:hAnsi="宋体" w:cs="宋体"/>
          <w:highlight w:val="none"/>
        </w:rPr>
        <w:t xml:space="preserve">                                                     </w:t>
      </w:r>
      <w:r>
        <w:rPr>
          <w:rFonts w:hint="eastAsia" w:ascii="宋体" w:hAnsi="宋体" w:cs="宋体"/>
          <w:sz w:val="24"/>
          <w:highlight w:val="none"/>
        </w:rPr>
        <w:t>单位名称(盖公章)：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2978EF4">
      <w:pPr>
        <w:adjustRightInd w:val="0"/>
        <w:spacing w:line="480" w:lineRule="auto"/>
        <w:ind w:firstLine="5520" w:firstLineChars="2300"/>
        <w:rPr>
          <w:rFonts w:hint="eastAsia" w:ascii="宋体" w:hAnsi="宋体" w:cs="宋体"/>
          <w:sz w:val="24"/>
          <w:highlight w:val="none"/>
        </w:rPr>
      </w:pPr>
      <w:r>
        <w:rPr>
          <w:rFonts w:hint="eastAsia" w:ascii="宋体" w:hAnsi="宋体" w:cs="宋体"/>
          <w:sz w:val="24"/>
          <w:highlight w:val="none"/>
        </w:rPr>
        <w:t>日 期：     年   月   日</w:t>
      </w:r>
    </w:p>
    <w:p w14:paraId="13152AD7">
      <w:pPr>
        <w:rPr>
          <w:rFonts w:hint="eastAsia" w:ascii="宋体" w:hAnsi="宋体" w:cs="宋体"/>
          <w:highlight w:val="none"/>
        </w:rPr>
      </w:pPr>
    </w:p>
    <w:p w14:paraId="1E709CF6">
      <w:pPr>
        <w:widowControl/>
        <w:spacing w:line="360" w:lineRule="auto"/>
        <w:rPr>
          <w:rFonts w:hint="eastAsia" w:ascii="宋体" w:hAnsi="宋体" w:cs="宋体"/>
          <w:b/>
          <w:bCs/>
          <w:kern w:val="0"/>
          <w:sz w:val="28"/>
          <w:szCs w:val="28"/>
          <w:highlight w:val="none"/>
        </w:rPr>
      </w:pPr>
      <w:r>
        <w:rPr>
          <w:rFonts w:hint="eastAsia" w:ascii="宋体" w:hAnsi="宋体" w:cs="宋体"/>
          <w:b/>
          <w:sz w:val="24"/>
          <w:highlight w:val="none"/>
        </w:rPr>
        <w:t>附：提供法定代表人的身份证正反面复印件盖公章</w:t>
      </w:r>
    </w:p>
    <w:p w14:paraId="0400B806">
      <w:pPr>
        <w:spacing w:line="480" w:lineRule="exact"/>
        <w:ind w:firstLine="480" w:firstLineChars="200"/>
        <w:rPr>
          <w:rFonts w:hint="eastAsia" w:ascii="宋体" w:hAnsi="宋体" w:cs="宋体"/>
          <w:sz w:val="24"/>
          <w:highlight w:val="none"/>
        </w:rPr>
      </w:pPr>
    </w:p>
    <w:p w14:paraId="19F68B2C">
      <w:pPr>
        <w:rPr>
          <w:rFonts w:hint="eastAsia" w:ascii="宋体" w:hAnsi="宋体" w:cs="宋体"/>
          <w:highlight w:val="none"/>
        </w:rPr>
      </w:pPr>
    </w:p>
    <w:p w14:paraId="66474D58">
      <w:pPr>
        <w:snapToGrid w:val="0"/>
        <w:spacing w:line="400" w:lineRule="exact"/>
        <w:ind w:firstLine="540" w:firstLineChars="192"/>
        <w:contextualSpacing/>
        <w:rPr>
          <w:rFonts w:hint="eastAsia" w:ascii="宋体" w:hAnsi="宋体" w:cs="宋体"/>
          <w:b/>
          <w:kern w:val="0"/>
          <w:sz w:val="28"/>
          <w:szCs w:val="28"/>
          <w:highlight w:val="none"/>
        </w:rPr>
      </w:pPr>
    </w:p>
    <w:p w14:paraId="78D25A2E">
      <w:pPr>
        <w:snapToGrid w:val="0"/>
        <w:spacing w:line="400" w:lineRule="exact"/>
        <w:ind w:firstLine="540" w:firstLineChars="192"/>
        <w:contextualSpacing/>
        <w:rPr>
          <w:rFonts w:hint="eastAsia" w:ascii="宋体" w:hAnsi="宋体" w:cs="宋体"/>
          <w:b/>
          <w:kern w:val="0"/>
          <w:sz w:val="28"/>
          <w:szCs w:val="28"/>
          <w:highlight w:val="none"/>
          <w:lang w:val="zh-CN"/>
        </w:rPr>
      </w:pPr>
    </w:p>
    <w:p w14:paraId="60008C7A">
      <w:pPr>
        <w:snapToGrid w:val="0"/>
        <w:spacing w:line="400" w:lineRule="exact"/>
        <w:ind w:firstLine="540" w:firstLineChars="192"/>
        <w:contextualSpacing/>
        <w:rPr>
          <w:rFonts w:hint="eastAsia" w:ascii="宋体" w:hAnsi="宋体" w:cs="宋体"/>
          <w:b/>
          <w:kern w:val="0"/>
          <w:sz w:val="28"/>
          <w:szCs w:val="28"/>
          <w:highlight w:val="none"/>
          <w:lang w:val="zh-CN"/>
        </w:rPr>
      </w:pPr>
    </w:p>
    <w:p w14:paraId="75E3399D">
      <w:pPr>
        <w:snapToGrid w:val="0"/>
        <w:spacing w:line="400" w:lineRule="exact"/>
        <w:ind w:firstLine="540" w:firstLineChars="192"/>
        <w:contextualSpacing/>
        <w:rPr>
          <w:rFonts w:hint="eastAsia" w:ascii="宋体" w:hAnsi="宋体" w:cs="宋体"/>
          <w:b/>
          <w:kern w:val="0"/>
          <w:sz w:val="28"/>
          <w:szCs w:val="28"/>
          <w:highlight w:val="none"/>
          <w:lang w:val="zh-CN"/>
        </w:rPr>
      </w:pPr>
    </w:p>
    <w:p w14:paraId="0518C774">
      <w:pPr>
        <w:snapToGrid w:val="0"/>
        <w:spacing w:line="400" w:lineRule="exact"/>
        <w:ind w:firstLine="540" w:firstLineChars="192"/>
        <w:contextualSpacing/>
        <w:rPr>
          <w:rFonts w:hint="eastAsia" w:ascii="宋体" w:hAnsi="宋体" w:cs="宋体"/>
          <w:b/>
          <w:kern w:val="0"/>
          <w:sz w:val="28"/>
          <w:szCs w:val="28"/>
          <w:highlight w:val="none"/>
          <w:lang w:val="zh-CN"/>
        </w:rPr>
      </w:pPr>
    </w:p>
    <w:p w14:paraId="3BE3771E">
      <w:pPr>
        <w:snapToGrid w:val="0"/>
        <w:spacing w:line="400" w:lineRule="exact"/>
        <w:ind w:firstLine="540" w:firstLineChars="192"/>
        <w:contextualSpacing/>
        <w:rPr>
          <w:rFonts w:hint="eastAsia" w:ascii="宋体" w:hAnsi="宋体" w:cs="宋体"/>
          <w:b/>
          <w:kern w:val="0"/>
          <w:sz w:val="28"/>
          <w:szCs w:val="28"/>
          <w:highlight w:val="none"/>
          <w:lang w:val="zh-CN"/>
        </w:rPr>
      </w:pPr>
    </w:p>
    <w:p w14:paraId="5A8B7F91">
      <w:pPr>
        <w:snapToGrid w:val="0"/>
        <w:spacing w:line="400" w:lineRule="exact"/>
        <w:ind w:firstLine="540" w:firstLineChars="192"/>
        <w:contextualSpacing/>
        <w:rPr>
          <w:rFonts w:hint="eastAsia" w:ascii="宋体" w:hAnsi="宋体" w:cs="宋体"/>
          <w:b/>
          <w:kern w:val="0"/>
          <w:sz w:val="28"/>
          <w:szCs w:val="28"/>
          <w:highlight w:val="none"/>
          <w:lang w:val="zh-CN"/>
        </w:rPr>
      </w:pPr>
    </w:p>
    <w:p w14:paraId="32370A0A">
      <w:pPr>
        <w:snapToGrid w:val="0"/>
        <w:spacing w:line="400" w:lineRule="exact"/>
        <w:ind w:firstLine="540" w:firstLineChars="192"/>
        <w:contextualSpacing/>
        <w:rPr>
          <w:rFonts w:hint="eastAsia" w:ascii="宋体" w:hAnsi="宋体" w:cs="宋体"/>
          <w:b/>
          <w:kern w:val="0"/>
          <w:sz w:val="28"/>
          <w:szCs w:val="28"/>
          <w:highlight w:val="none"/>
          <w:lang w:val="zh-CN"/>
        </w:rPr>
      </w:pPr>
    </w:p>
    <w:p w14:paraId="27DEB193">
      <w:pPr>
        <w:snapToGrid w:val="0"/>
        <w:spacing w:line="400" w:lineRule="exact"/>
        <w:ind w:firstLine="540" w:firstLineChars="192"/>
        <w:contextualSpacing/>
        <w:rPr>
          <w:rFonts w:hint="eastAsia" w:ascii="宋体" w:hAnsi="宋体" w:cs="宋体"/>
          <w:b/>
          <w:kern w:val="0"/>
          <w:sz w:val="28"/>
          <w:szCs w:val="28"/>
          <w:highlight w:val="none"/>
          <w:lang w:val="zh-CN"/>
        </w:rPr>
      </w:pPr>
    </w:p>
    <w:p w14:paraId="5D2F7AAF">
      <w:pPr>
        <w:snapToGrid w:val="0"/>
        <w:spacing w:line="400" w:lineRule="exact"/>
        <w:ind w:firstLine="540" w:firstLineChars="192"/>
        <w:contextualSpacing/>
        <w:rPr>
          <w:rFonts w:hint="eastAsia" w:ascii="宋体" w:hAnsi="宋体" w:cs="宋体"/>
          <w:b/>
          <w:kern w:val="0"/>
          <w:sz w:val="28"/>
          <w:szCs w:val="28"/>
          <w:highlight w:val="none"/>
          <w:lang w:val="zh-CN"/>
        </w:rPr>
      </w:pPr>
    </w:p>
    <w:p w14:paraId="64C6372B">
      <w:pPr>
        <w:snapToGrid w:val="0"/>
        <w:spacing w:line="400" w:lineRule="exact"/>
        <w:ind w:firstLine="540" w:firstLineChars="192"/>
        <w:contextualSpacing/>
        <w:rPr>
          <w:rFonts w:hint="eastAsia" w:ascii="宋体" w:hAnsi="宋体" w:cs="宋体"/>
          <w:b/>
          <w:kern w:val="0"/>
          <w:sz w:val="28"/>
          <w:szCs w:val="28"/>
          <w:highlight w:val="none"/>
          <w:lang w:val="zh-CN"/>
        </w:rPr>
      </w:pPr>
    </w:p>
    <w:p w14:paraId="0CF5F0F9">
      <w:pPr>
        <w:snapToGrid w:val="0"/>
        <w:spacing w:line="400" w:lineRule="exact"/>
        <w:ind w:firstLine="540" w:firstLineChars="192"/>
        <w:contextualSpacing/>
        <w:rPr>
          <w:rFonts w:hint="eastAsia" w:ascii="宋体" w:hAnsi="宋体" w:cs="宋体"/>
          <w:b/>
          <w:kern w:val="0"/>
          <w:sz w:val="28"/>
          <w:szCs w:val="28"/>
          <w:highlight w:val="none"/>
          <w:lang w:val="zh-CN"/>
        </w:rPr>
      </w:pPr>
    </w:p>
    <w:p w14:paraId="54FBC818">
      <w:pPr>
        <w:snapToGrid w:val="0"/>
        <w:spacing w:line="400" w:lineRule="exact"/>
        <w:ind w:firstLine="540" w:firstLineChars="192"/>
        <w:contextualSpacing/>
        <w:rPr>
          <w:rFonts w:hint="eastAsia" w:ascii="宋体" w:hAnsi="宋体" w:cs="宋体"/>
          <w:b/>
          <w:kern w:val="0"/>
          <w:sz w:val="28"/>
          <w:szCs w:val="28"/>
          <w:highlight w:val="none"/>
          <w:lang w:val="zh-CN"/>
        </w:rPr>
      </w:pPr>
    </w:p>
    <w:p w14:paraId="6EF5D63B">
      <w:pPr>
        <w:snapToGrid w:val="0"/>
        <w:spacing w:line="400" w:lineRule="exact"/>
        <w:ind w:firstLine="540" w:firstLineChars="192"/>
        <w:contextualSpacing/>
        <w:rPr>
          <w:rFonts w:hint="eastAsia" w:ascii="宋体" w:hAnsi="宋体" w:cs="宋体"/>
          <w:b/>
          <w:kern w:val="0"/>
          <w:sz w:val="28"/>
          <w:szCs w:val="28"/>
          <w:highlight w:val="none"/>
          <w:lang w:val="zh-CN"/>
        </w:rPr>
      </w:pPr>
    </w:p>
    <w:p w14:paraId="528A953E">
      <w:pPr>
        <w:snapToGrid w:val="0"/>
        <w:spacing w:line="400" w:lineRule="exact"/>
        <w:ind w:firstLine="540" w:firstLineChars="192"/>
        <w:contextualSpacing/>
        <w:rPr>
          <w:rFonts w:hint="eastAsia" w:ascii="宋体" w:hAnsi="宋体" w:cs="宋体"/>
          <w:b/>
          <w:kern w:val="0"/>
          <w:sz w:val="28"/>
          <w:szCs w:val="28"/>
          <w:highlight w:val="none"/>
          <w:lang w:val="zh-CN"/>
        </w:rPr>
      </w:pPr>
    </w:p>
    <w:p w14:paraId="558D11D5">
      <w:pPr>
        <w:snapToGrid w:val="0"/>
        <w:spacing w:line="400" w:lineRule="exact"/>
        <w:ind w:firstLine="540" w:firstLineChars="192"/>
        <w:contextualSpacing/>
        <w:rPr>
          <w:rFonts w:hint="eastAsia" w:ascii="宋体" w:hAnsi="宋体" w:cs="宋体"/>
          <w:b/>
          <w:kern w:val="0"/>
          <w:sz w:val="28"/>
          <w:szCs w:val="28"/>
          <w:highlight w:val="none"/>
          <w:lang w:val="zh-CN"/>
        </w:rPr>
      </w:pPr>
    </w:p>
    <w:p w14:paraId="764C3E8E">
      <w:pPr>
        <w:snapToGrid w:val="0"/>
        <w:spacing w:line="400" w:lineRule="exact"/>
        <w:ind w:firstLine="540" w:firstLineChars="192"/>
        <w:contextualSpacing/>
        <w:rPr>
          <w:rFonts w:hint="eastAsia" w:ascii="宋体" w:hAnsi="宋体" w:cs="宋体"/>
          <w:b/>
          <w:kern w:val="0"/>
          <w:sz w:val="28"/>
          <w:szCs w:val="28"/>
          <w:highlight w:val="none"/>
          <w:lang w:val="zh-CN"/>
        </w:rPr>
      </w:pPr>
    </w:p>
    <w:p w14:paraId="7F77E326">
      <w:pPr>
        <w:snapToGrid w:val="0"/>
        <w:spacing w:line="400" w:lineRule="exact"/>
        <w:contextualSpacing/>
        <w:rPr>
          <w:rFonts w:hint="eastAsia" w:ascii="宋体" w:hAnsi="宋体" w:cs="宋体"/>
          <w:kern w:val="0"/>
          <w:sz w:val="32"/>
          <w:szCs w:val="32"/>
          <w:highlight w:val="none"/>
          <w:lang w:val="zh-CN"/>
        </w:rPr>
        <w:sectPr>
          <w:pgSz w:w="11907" w:h="16839"/>
          <w:pgMar w:top="1440" w:right="1417" w:bottom="1440" w:left="1417" w:header="720" w:footer="720" w:gutter="0"/>
          <w:cols w:space="720" w:num="1"/>
          <w:docGrid w:linePitch="286" w:charSpace="0"/>
        </w:sectPr>
      </w:pPr>
    </w:p>
    <w:p w14:paraId="5EB8737E">
      <w:pPr>
        <w:snapToGrid w:val="0"/>
        <w:spacing w:line="400" w:lineRule="exact"/>
        <w:contextualSpacing/>
        <w:rPr>
          <w:rFonts w:hint="eastAsia" w:ascii="宋体" w:hAnsi="宋体" w:cs="宋体"/>
          <w:kern w:val="0"/>
          <w:sz w:val="32"/>
          <w:szCs w:val="32"/>
          <w:highlight w:val="none"/>
          <w:lang w:val="zh-CN"/>
        </w:rPr>
      </w:pPr>
      <w:r>
        <w:rPr>
          <w:rFonts w:hint="eastAsia" w:ascii="宋体" w:hAnsi="宋体" w:cs="宋体"/>
          <w:kern w:val="0"/>
          <w:sz w:val="32"/>
          <w:szCs w:val="32"/>
          <w:highlight w:val="none"/>
          <w:lang w:val="zh-CN"/>
        </w:rPr>
        <w:t>附件3</w:t>
      </w:r>
    </w:p>
    <w:p w14:paraId="03BF4B0E">
      <w:pPr>
        <w:spacing w:line="440" w:lineRule="exact"/>
        <w:jc w:val="center"/>
        <w:rPr>
          <w:rFonts w:hint="eastAsia" w:ascii="宋体" w:hAnsi="宋体" w:cs="宋体"/>
          <w:b/>
          <w:sz w:val="32"/>
          <w:szCs w:val="32"/>
          <w:highlight w:val="none"/>
          <w:lang w:bidi="ar"/>
        </w:rPr>
      </w:pPr>
      <w:r>
        <w:rPr>
          <w:rFonts w:hint="eastAsia" w:ascii="宋体" w:hAnsi="宋体" w:cs="宋体"/>
          <w:b/>
          <w:sz w:val="32"/>
          <w:szCs w:val="32"/>
          <w:highlight w:val="none"/>
          <w:lang w:bidi="ar"/>
        </w:rPr>
        <w:t>法</w:t>
      </w:r>
      <w:r>
        <w:rPr>
          <w:rFonts w:hint="eastAsia" w:ascii="宋体" w:hAnsi="宋体" w:cs="宋体"/>
          <w:sz w:val="32"/>
          <w:szCs w:val="32"/>
          <w:highlight w:val="none"/>
          <w:lang w:bidi="ar"/>
        </w:rPr>
        <w:t xml:space="preserve"> </w:t>
      </w:r>
      <w:r>
        <w:rPr>
          <w:rFonts w:hint="eastAsia" w:ascii="宋体" w:hAnsi="宋体" w:cs="宋体"/>
          <w:b/>
          <w:sz w:val="32"/>
          <w:szCs w:val="32"/>
          <w:highlight w:val="none"/>
          <w:lang w:bidi="ar"/>
        </w:rPr>
        <w:t>定 代 表 人 授 权 委 托 书</w:t>
      </w:r>
    </w:p>
    <w:p w14:paraId="098A0665">
      <w:pPr>
        <w:spacing w:line="440" w:lineRule="exact"/>
        <w:rPr>
          <w:rFonts w:hint="eastAsia" w:ascii="宋体" w:hAnsi="宋体" w:cs="宋体"/>
          <w:sz w:val="24"/>
          <w:highlight w:val="none"/>
        </w:rPr>
      </w:pPr>
    </w:p>
    <w:p w14:paraId="38FC92DB">
      <w:pPr>
        <w:spacing w:line="360" w:lineRule="auto"/>
        <w:ind w:firstLine="560" w:firstLineChars="200"/>
        <w:rPr>
          <w:rFonts w:ascii="宋体" w:hAnsi="宋体"/>
          <w:sz w:val="28"/>
          <w:szCs w:val="28"/>
          <w:highlight w:val="none"/>
        </w:rPr>
      </w:pPr>
      <w:r>
        <w:rPr>
          <w:rFonts w:hint="eastAsia" w:ascii="宋体" w:hAnsi="宋体"/>
          <w:sz w:val="28"/>
          <w:szCs w:val="28"/>
          <w:highlight w:val="none"/>
        </w:rPr>
        <w:t>本人</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（姓名）系</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（授权单位名称）的法定代表人，现委托</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（姓名）（身份证号</w:t>
      </w:r>
      <w:r>
        <w:rPr>
          <w:rFonts w:hint="eastAsia" w:ascii="宋体" w:hAnsi="宋体"/>
          <w:sz w:val="24"/>
          <w:szCs w:val="21"/>
          <w:highlight w:val="none"/>
        </w:rPr>
        <w:t>_______</w:t>
      </w:r>
      <w:r>
        <w:rPr>
          <w:rFonts w:hint="eastAsia" w:ascii="宋体" w:hAnsi="宋体"/>
          <w:sz w:val="24"/>
          <w:szCs w:val="21"/>
          <w:highlight w:val="none"/>
          <w:u w:val="single"/>
        </w:rPr>
        <w:t>__</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r>
        <w:rPr>
          <w:rFonts w:hint="eastAsia" w:ascii="宋体" w:hAnsi="宋体"/>
          <w:sz w:val="28"/>
          <w:szCs w:val="28"/>
          <w:highlight w:val="none"/>
        </w:rPr>
        <w:t>联系电话__________）为我方代理人，以我方名义全权处理与</w:t>
      </w:r>
      <w:r>
        <w:rPr>
          <w:rFonts w:hint="eastAsia" w:ascii="宋体" w:hAnsi="宋体"/>
          <w:sz w:val="24"/>
          <w:szCs w:val="21"/>
          <w:highlight w:val="none"/>
          <w:u w:val="single"/>
        </w:rPr>
        <w:t>____________________</w:t>
      </w:r>
      <w:r>
        <w:rPr>
          <w:rFonts w:hint="eastAsia" w:ascii="宋体" w:hAnsi="宋体"/>
          <w:sz w:val="28"/>
          <w:szCs w:val="28"/>
          <w:highlight w:val="none"/>
          <w:u w:val="single"/>
        </w:rPr>
        <w:t>（项目名称）</w:t>
      </w:r>
      <w:r>
        <w:rPr>
          <w:rFonts w:hint="eastAsia" w:ascii="宋体" w:hAnsi="宋体"/>
          <w:sz w:val="28"/>
          <w:szCs w:val="28"/>
          <w:highlight w:val="none"/>
        </w:rPr>
        <w:t>有关的一切事务，其法律后果由我方承担。</w:t>
      </w:r>
    </w:p>
    <w:p w14:paraId="7655BE0F">
      <w:pPr>
        <w:spacing w:line="360" w:lineRule="auto"/>
        <w:ind w:firstLine="560" w:firstLineChars="200"/>
        <w:rPr>
          <w:rFonts w:ascii="宋体" w:hAnsi="宋体"/>
          <w:sz w:val="28"/>
          <w:szCs w:val="28"/>
          <w:highlight w:val="none"/>
        </w:rPr>
      </w:pPr>
      <w:r>
        <w:rPr>
          <w:rFonts w:hint="eastAsia" w:ascii="宋体" w:hAnsi="宋体"/>
          <w:sz w:val="28"/>
          <w:szCs w:val="28"/>
          <w:highlight w:val="none"/>
        </w:rPr>
        <w:t>本授权书于</w:t>
      </w:r>
      <w:r>
        <w:rPr>
          <w:rFonts w:hint="eastAsia" w:ascii="宋体" w:hAnsi="宋体"/>
          <w:sz w:val="24"/>
          <w:szCs w:val="21"/>
          <w:highlight w:val="none"/>
          <w:u w:val="single"/>
        </w:rPr>
        <w:t>____</w:t>
      </w:r>
      <w:r>
        <w:rPr>
          <w:rFonts w:hint="eastAsia" w:ascii="宋体" w:hAnsi="宋体"/>
          <w:sz w:val="28"/>
          <w:szCs w:val="28"/>
          <w:highlight w:val="none"/>
        </w:rPr>
        <w:t>年</w:t>
      </w:r>
      <w:r>
        <w:rPr>
          <w:rFonts w:hint="eastAsia" w:ascii="宋体" w:hAnsi="宋体"/>
          <w:sz w:val="24"/>
          <w:szCs w:val="21"/>
          <w:highlight w:val="none"/>
          <w:u w:val="single"/>
        </w:rPr>
        <w:t>____</w:t>
      </w:r>
      <w:r>
        <w:rPr>
          <w:rFonts w:hint="eastAsia" w:ascii="宋体" w:hAnsi="宋体"/>
          <w:sz w:val="28"/>
          <w:szCs w:val="28"/>
          <w:highlight w:val="none"/>
        </w:rPr>
        <w:t>月</w:t>
      </w:r>
      <w:r>
        <w:rPr>
          <w:rFonts w:hint="eastAsia" w:ascii="宋体" w:hAnsi="宋体"/>
          <w:sz w:val="24"/>
          <w:szCs w:val="21"/>
          <w:highlight w:val="none"/>
          <w:u w:val="single"/>
        </w:rPr>
        <w:t>____</w:t>
      </w:r>
      <w:r>
        <w:rPr>
          <w:rFonts w:hint="eastAsia" w:ascii="宋体" w:hAnsi="宋体"/>
          <w:sz w:val="28"/>
          <w:szCs w:val="28"/>
          <w:highlight w:val="none"/>
        </w:rPr>
        <w:t>日起生效。代理人无转委托权。</w:t>
      </w:r>
    </w:p>
    <w:p w14:paraId="70E969AA">
      <w:pPr>
        <w:spacing w:line="360" w:lineRule="auto"/>
        <w:ind w:firstLine="420" w:firstLineChars="150"/>
        <w:rPr>
          <w:rFonts w:ascii="宋体" w:hAnsi="宋体"/>
          <w:sz w:val="28"/>
          <w:szCs w:val="28"/>
          <w:highlight w:val="none"/>
        </w:rPr>
      </w:pPr>
    </w:p>
    <w:p w14:paraId="0A421D32">
      <w:pPr>
        <w:spacing w:line="360" w:lineRule="auto"/>
        <w:ind w:firstLine="420" w:firstLineChars="150"/>
        <w:rPr>
          <w:rFonts w:ascii="宋体" w:hAnsi="宋体"/>
          <w:sz w:val="28"/>
          <w:szCs w:val="28"/>
          <w:highlight w:val="none"/>
        </w:rPr>
      </w:pPr>
    </w:p>
    <w:p w14:paraId="1DEFF902">
      <w:pPr>
        <w:spacing w:line="360" w:lineRule="auto"/>
        <w:ind w:firstLine="420" w:firstLineChars="150"/>
        <w:rPr>
          <w:rFonts w:hint="eastAsia" w:ascii="宋体" w:hAnsi="宋体"/>
          <w:sz w:val="28"/>
          <w:szCs w:val="28"/>
          <w:highlight w:val="none"/>
        </w:rPr>
      </w:pPr>
    </w:p>
    <w:p w14:paraId="7CABC501">
      <w:pPr>
        <w:spacing w:line="360" w:lineRule="auto"/>
        <w:ind w:firstLine="420" w:firstLineChars="150"/>
        <w:rPr>
          <w:rFonts w:ascii="宋体" w:hAnsi="宋体"/>
          <w:sz w:val="24"/>
          <w:szCs w:val="21"/>
          <w:highlight w:val="none"/>
        </w:rPr>
      </w:pPr>
      <w:r>
        <w:rPr>
          <w:rFonts w:hint="eastAsia" w:ascii="宋体" w:hAnsi="宋体"/>
          <w:sz w:val="28"/>
          <w:szCs w:val="28"/>
          <w:highlight w:val="none"/>
        </w:rPr>
        <w:t>代理人(被授权人)签字：</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6D8D4349">
      <w:pPr>
        <w:spacing w:line="360" w:lineRule="auto"/>
        <w:ind w:firstLine="420" w:firstLineChars="150"/>
        <w:rPr>
          <w:rFonts w:ascii="宋体" w:hAnsi="宋体"/>
          <w:sz w:val="28"/>
          <w:szCs w:val="28"/>
          <w:highlight w:val="none"/>
        </w:rPr>
      </w:pPr>
      <w:r>
        <w:rPr>
          <w:rFonts w:hint="eastAsia" w:ascii="宋体" w:hAnsi="宋体"/>
          <w:sz w:val="28"/>
          <w:szCs w:val="28"/>
          <w:highlight w:val="none"/>
        </w:rPr>
        <w:t>授权单位名称（盖章）：</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2DC498D2">
      <w:pPr>
        <w:spacing w:line="360" w:lineRule="auto"/>
        <w:ind w:firstLine="420" w:firstLineChars="150"/>
        <w:rPr>
          <w:rFonts w:ascii="宋体" w:hAnsi="宋体"/>
          <w:sz w:val="28"/>
          <w:szCs w:val="28"/>
          <w:highlight w:val="none"/>
        </w:rPr>
      </w:pPr>
      <w:r>
        <w:rPr>
          <w:rFonts w:hint="eastAsia" w:ascii="宋体" w:hAnsi="宋体"/>
          <w:sz w:val="28"/>
          <w:szCs w:val="28"/>
          <w:highlight w:val="none"/>
        </w:rPr>
        <w:t>授权单位法定代表人（签字或盖章）：</w:t>
      </w:r>
      <w:r>
        <w:rPr>
          <w:rFonts w:hint="eastAsia" w:ascii="宋体" w:hAnsi="宋体"/>
          <w:sz w:val="24"/>
          <w:szCs w:val="21"/>
          <w:highlight w:val="none"/>
        </w:rPr>
        <w:t>_____</w:t>
      </w:r>
      <w:r>
        <w:rPr>
          <w:rFonts w:hint="eastAsia" w:ascii="宋体" w:hAnsi="宋体"/>
          <w:sz w:val="24"/>
          <w:szCs w:val="21"/>
          <w:highlight w:val="none"/>
          <w:u w:val="single"/>
        </w:rPr>
        <w:t>__</w:t>
      </w:r>
      <w:r>
        <w:rPr>
          <w:rFonts w:hint="eastAsia" w:ascii="宋体" w:hAnsi="宋体"/>
          <w:sz w:val="24"/>
          <w:szCs w:val="21"/>
          <w:highlight w:val="none"/>
        </w:rPr>
        <w:t>___</w:t>
      </w:r>
    </w:p>
    <w:p w14:paraId="1F78EA87">
      <w:pPr>
        <w:ind w:firstLine="560" w:firstLineChars="200"/>
        <w:rPr>
          <w:rFonts w:ascii="宋体" w:hAnsi="宋体"/>
          <w:sz w:val="28"/>
          <w:szCs w:val="28"/>
          <w:highlight w:val="none"/>
        </w:rPr>
      </w:pPr>
    </w:p>
    <w:p w14:paraId="2F8DB6F3">
      <w:pPr>
        <w:spacing w:line="440" w:lineRule="exact"/>
        <w:jc w:val="right"/>
        <w:rPr>
          <w:rFonts w:hint="eastAsia" w:ascii="宋体" w:hAnsi="宋体" w:cs="宋体"/>
          <w:sz w:val="24"/>
          <w:highlight w:val="none"/>
        </w:rPr>
      </w:pPr>
      <w:r>
        <w:rPr>
          <w:rFonts w:hint="eastAsia" w:ascii="宋体" w:hAnsi="宋体"/>
          <w:sz w:val="24"/>
          <w:szCs w:val="21"/>
          <w:highlight w:val="none"/>
        </w:rPr>
        <w:t>___</w:t>
      </w:r>
      <w:r>
        <w:rPr>
          <w:rFonts w:hint="eastAsia" w:ascii="宋体" w:hAnsi="宋体"/>
          <w:sz w:val="24"/>
          <w:szCs w:val="21"/>
          <w:highlight w:val="none"/>
          <w:u w:val="single"/>
        </w:rPr>
        <w:t>__</w:t>
      </w:r>
      <w:r>
        <w:rPr>
          <w:rFonts w:hint="eastAsia" w:ascii="宋体" w:hAnsi="宋体"/>
          <w:sz w:val="28"/>
          <w:szCs w:val="28"/>
          <w:highlight w:val="none"/>
        </w:rPr>
        <w:t>年</w:t>
      </w:r>
      <w:r>
        <w:rPr>
          <w:rFonts w:hint="eastAsia" w:ascii="宋体" w:hAnsi="宋体"/>
          <w:sz w:val="24"/>
          <w:szCs w:val="21"/>
          <w:highlight w:val="none"/>
        </w:rPr>
        <w:t>__</w:t>
      </w:r>
      <w:r>
        <w:rPr>
          <w:rFonts w:hint="eastAsia" w:ascii="宋体" w:hAnsi="宋体"/>
          <w:sz w:val="24"/>
          <w:szCs w:val="21"/>
          <w:highlight w:val="none"/>
          <w:u w:val="single"/>
        </w:rPr>
        <w:t>__</w:t>
      </w:r>
      <w:r>
        <w:rPr>
          <w:rFonts w:hint="eastAsia" w:ascii="宋体" w:hAnsi="宋体"/>
          <w:sz w:val="28"/>
          <w:szCs w:val="28"/>
          <w:highlight w:val="none"/>
        </w:rPr>
        <w:t>月</w:t>
      </w:r>
      <w:r>
        <w:rPr>
          <w:rFonts w:hint="eastAsia" w:ascii="宋体" w:hAnsi="宋体"/>
          <w:sz w:val="24"/>
          <w:szCs w:val="21"/>
          <w:highlight w:val="none"/>
        </w:rPr>
        <w:t>__</w:t>
      </w:r>
      <w:r>
        <w:rPr>
          <w:rFonts w:hint="eastAsia" w:ascii="宋体" w:hAnsi="宋体"/>
          <w:sz w:val="24"/>
          <w:szCs w:val="21"/>
          <w:highlight w:val="none"/>
          <w:u w:val="single"/>
        </w:rPr>
        <w:t>__</w:t>
      </w:r>
      <w:r>
        <w:rPr>
          <w:rFonts w:hint="eastAsia" w:ascii="宋体" w:hAnsi="宋体"/>
          <w:sz w:val="28"/>
          <w:szCs w:val="28"/>
          <w:highlight w:val="none"/>
        </w:rPr>
        <w:t>日</w:t>
      </w:r>
    </w:p>
    <w:p w14:paraId="4028AAA2">
      <w:pPr>
        <w:spacing w:line="440" w:lineRule="exact"/>
        <w:jc w:val="left"/>
        <w:rPr>
          <w:rFonts w:hint="eastAsia" w:ascii="宋体" w:hAnsi="宋体" w:cs="宋体"/>
          <w:b/>
          <w:kern w:val="0"/>
          <w:sz w:val="24"/>
          <w:highlight w:val="none"/>
        </w:rPr>
      </w:pPr>
    </w:p>
    <w:p w14:paraId="0B52BF86">
      <w:pPr>
        <w:jc w:val="left"/>
        <w:rPr>
          <w:rFonts w:hint="eastAsia" w:ascii="宋体" w:hAnsi="宋体" w:cs="宋体"/>
          <w:b/>
          <w:bCs/>
          <w:sz w:val="24"/>
          <w:highlight w:val="none"/>
          <w:lang w:bidi="ar"/>
        </w:rPr>
      </w:pPr>
    </w:p>
    <w:p w14:paraId="1F041237">
      <w:pPr>
        <w:jc w:val="left"/>
        <w:rPr>
          <w:rFonts w:hint="eastAsia" w:ascii="宋体" w:hAnsi="宋体" w:cs="宋体"/>
          <w:sz w:val="24"/>
          <w:highlight w:val="none"/>
        </w:rPr>
      </w:pPr>
      <w:r>
        <w:rPr>
          <w:rFonts w:hint="eastAsia" w:ascii="宋体" w:hAnsi="宋体" w:cs="宋体"/>
          <w:b/>
          <w:bCs/>
          <w:sz w:val="24"/>
          <w:highlight w:val="none"/>
          <w:lang w:bidi="ar"/>
        </w:rPr>
        <w:t>附：代理人(被授权人)身份证复印件盖公章</w:t>
      </w:r>
    </w:p>
    <w:p w14:paraId="499D1C24">
      <w:pPr>
        <w:snapToGrid w:val="0"/>
        <w:spacing w:line="400" w:lineRule="exact"/>
        <w:ind w:firstLine="540" w:firstLineChars="192"/>
        <w:contextualSpacing/>
        <w:rPr>
          <w:rFonts w:hint="eastAsia" w:ascii="宋体" w:hAnsi="宋体" w:cs="宋体"/>
          <w:b/>
          <w:kern w:val="0"/>
          <w:sz w:val="28"/>
          <w:szCs w:val="28"/>
          <w:highlight w:val="none"/>
        </w:rPr>
      </w:pPr>
    </w:p>
    <w:p w14:paraId="130378E5">
      <w:pPr>
        <w:pStyle w:val="2"/>
        <w:rPr>
          <w:rFonts w:hint="eastAsia" w:ascii="宋体" w:hAnsi="宋体" w:cs="宋体"/>
          <w:b/>
          <w:kern w:val="0"/>
          <w:sz w:val="28"/>
          <w:szCs w:val="28"/>
          <w:highlight w:val="none"/>
        </w:rPr>
      </w:pPr>
    </w:p>
    <w:p w14:paraId="45BD2E01">
      <w:pPr>
        <w:rPr>
          <w:rFonts w:hint="eastAsia" w:ascii="宋体" w:hAnsi="宋体" w:cs="宋体"/>
          <w:b/>
          <w:kern w:val="0"/>
          <w:sz w:val="28"/>
          <w:szCs w:val="28"/>
          <w:highlight w:val="none"/>
        </w:rPr>
      </w:pPr>
    </w:p>
    <w:p w14:paraId="6A2DBCF0">
      <w:pPr>
        <w:snapToGrid w:val="0"/>
        <w:spacing w:line="400" w:lineRule="exact"/>
        <w:contextualSpacing/>
        <w:rPr>
          <w:rFonts w:hint="eastAsia" w:ascii="宋体" w:hAnsi="宋体" w:cs="宋体"/>
          <w:kern w:val="0"/>
          <w:sz w:val="32"/>
          <w:szCs w:val="32"/>
          <w:highlight w:val="none"/>
        </w:rPr>
      </w:pPr>
    </w:p>
    <w:p w14:paraId="0AED0093">
      <w:pPr>
        <w:snapToGrid w:val="0"/>
        <w:spacing w:line="400" w:lineRule="exact"/>
        <w:contextualSpacing/>
        <w:rPr>
          <w:rFonts w:hint="eastAsia" w:ascii="宋体" w:hAnsi="宋体" w:cs="宋体"/>
          <w:kern w:val="0"/>
          <w:sz w:val="32"/>
          <w:szCs w:val="32"/>
          <w:highlight w:val="none"/>
        </w:rPr>
        <w:sectPr>
          <w:pgSz w:w="11907" w:h="16839"/>
          <w:pgMar w:top="1440" w:right="1417" w:bottom="1440" w:left="1417" w:header="720" w:footer="720" w:gutter="0"/>
          <w:cols w:space="720" w:num="1"/>
          <w:docGrid w:linePitch="286" w:charSpace="0"/>
        </w:sectPr>
      </w:pPr>
    </w:p>
    <w:p w14:paraId="06665FFB">
      <w:pPr>
        <w:snapToGrid w:val="0"/>
        <w:spacing w:line="400" w:lineRule="exact"/>
        <w:contextualSpacing/>
        <w:rPr>
          <w:rFonts w:hint="eastAsia" w:ascii="宋体" w:hAnsi="宋体" w:cs="宋体"/>
          <w:kern w:val="0"/>
          <w:sz w:val="32"/>
          <w:szCs w:val="32"/>
          <w:highlight w:val="none"/>
        </w:rPr>
      </w:pPr>
      <w:r>
        <w:rPr>
          <w:rFonts w:hint="eastAsia" w:ascii="宋体" w:hAnsi="宋体" w:cs="宋体"/>
          <w:kern w:val="0"/>
          <w:sz w:val="32"/>
          <w:szCs w:val="32"/>
          <w:highlight w:val="none"/>
        </w:rPr>
        <w:t>附件4</w:t>
      </w:r>
    </w:p>
    <w:p w14:paraId="5FEFBB4F">
      <w:pPr>
        <w:spacing w:line="440" w:lineRule="exact"/>
        <w:ind w:firstLine="602" w:firstLineChars="200"/>
        <w:jc w:val="center"/>
        <w:rPr>
          <w:rFonts w:hint="eastAsia" w:ascii="宋体" w:hAnsi="宋体" w:cs="宋体"/>
          <w:b/>
          <w:sz w:val="30"/>
          <w:szCs w:val="30"/>
          <w:highlight w:val="none"/>
          <w:lang w:bidi="ar"/>
        </w:rPr>
      </w:pPr>
    </w:p>
    <w:p w14:paraId="6A0730F9">
      <w:pPr>
        <w:spacing w:line="440" w:lineRule="exact"/>
        <w:ind w:firstLine="602" w:firstLineChars="200"/>
        <w:jc w:val="center"/>
        <w:rPr>
          <w:rFonts w:hint="eastAsia" w:ascii="宋体" w:hAnsi="宋体" w:cs="宋体"/>
          <w:b/>
          <w:sz w:val="30"/>
          <w:szCs w:val="30"/>
          <w:highlight w:val="none"/>
          <w:lang w:bidi="ar"/>
        </w:rPr>
      </w:pPr>
    </w:p>
    <w:p w14:paraId="07A7927E">
      <w:pPr>
        <w:spacing w:line="440" w:lineRule="exact"/>
        <w:ind w:firstLine="602" w:firstLineChars="200"/>
        <w:jc w:val="center"/>
        <w:rPr>
          <w:rFonts w:hint="eastAsia" w:ascii="宋体" w:hAnsi="宋体" w:cs="宋体"/>
          <w:b/>
          <w:kern w:val="0"/>
          <w:sz w:val="24"/>
          <w:highlight w:val="none"/>
        </w:rPr>
      </w:pPr>
      <w:r>
        <w:rPr>
          <w:rFonts w:hint="eastAsia" w:ascii="宋体" w:hAnsi="宋体" w:cs="宋体"/>
          <w:b/>
          <w:sz w:val="30"/>
          <w:szCs w:val="30"/>
          <w:highlight w:val="none"/>
          <w:lang w:bidi="ar"/>
        </w:rPr>
        <w:t>参加政府采购活动前 3 年内在经营活动中没有重大违法记</w:t>
      </w:r>
      <w:r>
        <w:rPr>
          <w:rFonts w:hint="eastAsia" w:ascii="宋体" w:hAnsi="宋体" w:cs="宋体"/>
          <w:b/>
          <w:bCs/>
          <w:sz w:val="30"/>
          <w:szCs w:val="30"/>
          <w:highlight w:val="none"/>
          <w:lang w:bidi="ar"/>
        </w:rPr>
        <w:t>录和失信记录的书面声明</w:t>
      </w:r>
    </w:p>
    <w:p w14:paraId="51A4CFE5">
      <w:pPr>
        <w:spacing w:line="440" w:lineRule="exact"/>
        <w:rPr>
          <w:rFonts w:hint="eastAsia" w:ascii="宋体" w:hAnsi="宋体" w:cs="宋体"/>
          <w:b/>
          <w:sz w:val="44"/>
          <w:szCs w:val="44"/>
          <w:highlight w:val="none"/>
        </w:rPr>
      </w:pPr>
      <w:r>
        <w:rPr>
          <w:rFonts w:hint="eastAsia" w:ascii="宋体" w:hAnsi="宋体" w:cs="宋体"/>
          <w:b/>
          <w:sz w:val="24"/>
          <w:highlight w:val="none"/>
          <w:lang w:bidi="ar"/>
        </w:rPr>
        <w:t xml:space="preserve">                       </w:t>
      </w:r>
      <w:r>
        <w:rPr>
          <w:rFonts w:hint="eastAsia" w:ascii="宋体" w:hAnsi="宋体" w:cs="宋体"/>
          <w:b/>
          <w:sz w:val="44"/>
          <w:szCs w:val="44"/>
          <w:highlight w:val="none"/>
          <w:lang w:bidi="ar"/>
        </w:rPr>
        <w:t xml:space="preserve">   </w:t>
      </w:r>
    </w:p>
    <w:p w14:paraId="5CCDB143">
      <w:pPr>
        <w:spacing w:line="440" w:lineRule="exact"/>
        <w:jc w:val="center"/>
        <w:rPr>
          <w:rFonts w:hint="eastAsia" w:ascii="宋体" w:hAnsi="宋体" w:cs="宋体"/>
          <w:b/>
          <w:sz w:val="44"/>
          <w:szCs w:val="44"/>
          <w:highlight w:val="none"/>
        </w:rPr>
      </w:pPr>
      <w:r>
        <w:rPr>
          <w:rFonts w:hint="eastAsia" w:ascii="宋体" w:hAnsi="宋体" w:cs="宋体"/>
          <w:b/>
          <w:sz w:val="44"/>
          <w:szCs w:val="44"/>
          <w:highlight w:val="none"/>
          <w:lang w:bidi="ar"/>
        </w:rPr>
        <w:t>声  明</w:t>
      </w:r>
    </w:p>
    <w:p w14:paraId="3F2D306D">
      <w:pPr>
        <w:spacing w:line="440" w:lineRule="exact"/>
        <w:ind w:firstLine="881"/>
        <w:jc w:val="center"/>
        <w:rPr>
          <w:rFonts w:hint="eastAsia" w:ascii="宋体" w:hAnsi="宋体" w:cs="宋体"/>
          <w:b/>
          <w:sz w:val="44"/>
          <w:szCs w:val="44"/>
          <w:highlight w:val="none"/>
        </w:rPr>
      </w:pPr>
    </w:p>
    <w:p w14:paraId="5A9E8919">
      <w:pPr>
        <w:spacing w:line="600" w:lineRule="exact"/>
        <w:ind w:firstLine="482"/>
        <w:rPr>
          <w:rFonts w:hint="eastAsia" w:ascii="宋体" w:hAnsi="宋体" w:cs="宋体"/>
          <w:bCs/>
          <w:sz w:val="24"/>
          <w:highlight w:val="none"/>
        </w:rPr>
      </w:pPr>
      <w:r>
        <w:rPr>
          <w:rFonts w:hint="eastAsia" w:ascii="宋体" w:hAnsi="宋体" w:cs="宋体"/>
          <w:bCs/>
          <w:sz w:val="24"/>
          <w:highlight w:val="none"/>
          <w:lang w:bidi="ar"/>
        </w:rPr>
        <w:t>我公司郑重声明：参加本次政府采购活动前 3 年内，我公司在经营活动中没有因违法经营受到刑事处罚或者责令停产停业、吊销许可证或者执照、较大数额罚款等行政处罚。</w:t>
      </w:r>
    </w:p>
    <w:p w14:paraId="6BD46760">
      <w:pPr>
        <w:spacing w:line="600" w:lineRule="exact"/>
        <w:ind w:firstLine="482"/>
        <w:rPr>
          <w:rFonts w:hint="eastAsia" w:ascii="宋体" w:hAnsi="宋体" w:cs="宋体"/>
          <w:sz w:val="24"/>
          <w:highlight w:val="none"/>
          <w:lang w:bidi="ar"/>
        </w:rPr>
      </w:pPr>
      <w:r>
        <w:rPr>
          <w:rFonts w:hint="eastAsia" w:ascii="宋体" w:hAnsi="宋体" w:cs="宋体"/>
          <w:bCs/>
          <w:sz w:val="24"/>
          <w:highlight w:val="none"/>
          <w:lang w:bidi="ar"/>
        </w:rPr>
        <w:t>在</w:t>
      </w:r>
      <w:r>
        <w:rPr>
          <w:rFonts w:hint="eastAsia" w:ascii="宋体" w:hAnsi="宋体" w:cs="宋体"/>
          <w:sz w:val="24"/>
          <w:highlight w:val="none"/>
          <w:lang w:bidi="ar"/>
        </w:rPr>
        <w:t>投标截止时间节点，没有被“信用中国”、“中国政府采购网”、“信用江苏”网站列入失信被执行人、重大税收违法案件当事人名单、政府采购严重违法失信行为记录名单。</w:t>
      </w:r>
    </w:p>
    <w:p w14:paraId="1FD87818">
      <w:pPr>
        <w:pStyle w:val="2"/>
        <w:rPr>
          <w:rFonts w:hint="eastAsia" w:ascii="宋体" w:hAnsi="宋体" w:cs="宋体"/>
          <w:sz w:val="24"/>
          <w:szCs w:val="24"/>
          <w:highlight w:val="none"/>
          <w:lang w:bidi="ar"/>
        </w:rPr>
      </w:pPr>
    </w:p>
    <w:p w14:paraId="2E592ECE">
      <w:pPr>
        <w:pStyle w:val="2"/>
        <w:rPr>
          <w:rFonts w:hint="eastAsia" w:ascii="宋体" w:hAnsi="宋体" w:cs="宋体"/>
          <w:sz w:val="24"/>
          <w:szCs w:val="24"/>
          <w:highlight w:val="none"/>
          <w:lang w:bidi="ar"/>
        </w:rPr>
      </w:pPr>
    </w:p>
    <w:p w14:paraId="6463C373">
      <w:pPr>
        <w:spacing w:line="440" w:lineRule="exact"/>
        <w:rPr>
          <w:rFonts w:hint="eastAsia" w:ascii="宋体" w:hAnsi="宋体" w:cs="宋体"/>
          <w:bCs/>
          <w:sz w:val="24"/>
          <w:highlight w:val="none"/>
        </w:rPr>
      </w:pPr>
      <w:r>
        <w:rPr>
          <w:rFonts w:hint="eastAsia" w:ascii="宋体" w:hAnsi="宋体" w:cs="宋体"/>
          <w:bCs/>
          <w:sz w:val="24"/>
          <w:highlight w:val="none"/>
          <w:lang w:bidi="ar"/>
        </w:rPr>
        <w:t xml:space="preserve">                           供应商（盖公章）：</w:t>
      </w:r>
    </w:p>
    <w:p w14:paraId="215AA655">
      <w:pPr>
        <w:spacing w:line="440" w:lineRule="exact"/>
        <w:rPr>
          <w:rFonts w:hint="eastAsia" w:ascii="宋体" w:hAnsi="宋体" w:cs="宋体"/>
          <w:bCs/>
          <w:sz w:val="24"/>
          <w:highlight w:val="none"/>
        </w:rPr>
      </w:pPr>
      <w:r>
        <w:rPr>
          <w:rFonts w:hint="eastAsia" w:ascii="宋体" w:hAnsi="宋体" w:cs="宋体"/>
          <w:bCs/>
          <w:sz w:val="24"/>
          <w:highlight w:val="none"/>
          <w:lang w:bidi="ar"/>
        </w:rPr>
        <w:t xml:space="preserve">                           </w:t>
      </w:r>
      <w:r>
        <w:rPr>
          <w:rFonts w:hint="eastAsia" w:ascii="宋体" w:hAnsi="宋体" w:cs="宋体"/>
          <w:sz w:val="24"/>
          <w:highlight w:val="none"/>
        </w:rPr>
        <w:t>法定代表人或被授权人（签字或盖章）：</w:t>
      </w:r>
      <w:r>
        <w:rPr>
          <w:rFonts w:hint="eastAsia" w:ascii="宋体" w:hAnsi="宋体" w:cs="宋体"/>
          <w:bCs/>
          <w:sz w:val="24"/>
          <w:highlight w:val="none"/>
          <w:lang w:bidi="ar"/>
        </w:rPr>
        <w:t>_________</w:t>
      </w:r>
    </w:p>
    <w:p w14:paraId="46B1846B">
      <w:pPr>
        <w:spacing w:line="440" w:lineRule="exact"/>
        <w:rPr>
          <w:rFonts w:hint="eastAsia" w:ascii="宋体" w:hAnsi="宋体" w:cs="宋体"/>
          <w:bCs/>
          <w:sz w:val="24"/>
          <w:highlight w:val="none"/>
        </w:rPr>
      </w:pPr>
      <w:r>
        <w:rPr>
          <w:rFonts w:hint="eastAsia" w:ascii="宋体" w:hAnsi="宋体" w:cs="宋体"/>
          <w:bCs/>
          <w:sz w:val="24"/>
          <w:highlight w:val="none"/>
          <w:lang w:bidi="ar"/>
        </w:rPr>
        <w:t xml:space="preserve">                           日期：______年</w:t>
      </w:r>
      <w:r>
        <w:rPr>
          <w:rFonts w:hint="eastAsia" w:ascii="宋体" w:hAnsi="宋体" w:cs="宋体"/>
          <w:bCs/>
          <w:sz w:val="24"/>
          <w:highlight w:val="none"/>
          <w:u w:val="single"/>
          <w:lang w:bidi="ar"/>
        </w:rPr>
        <w:t xml:space="preserve">    </w:t>
      </w:r>
      <w:r>
        <w:rPr>
          <w:rFonts w:hint="eastAsia" w:ascii="宋体" w:hAnsi="宋体" w:cs="宋体"/>
          <w:bCs/>
          <w:sz w:val="24"/>
          <w:highlight w:val="none"/>
          <w:lang w:bidi="ar"/>
        </w:rPr>
        <w:t>月</w:t>
      </w:r>
      <w:r>
        <w:rPr>
          <w:rFonts w:hint="eastAsia" w:ascii="宋体" w:hAnsi="宋体" w:cs="宋体"/>
          <w:bCs/>
          <w:sz w:val="24"/>
          <w:highlight w:val="none"/>
          <w:u w:val="single"/>
          <w:lang w:bidi="ar"/>
        </w:rPr>
        <w:t xml:space="preserve">    </w:t>
      </w:r>
      <w:r>
        <w:rPr>
          <w:rFonts w:hint="eastAsia" w:ascii="宋体" w:hAnsi="宋体" w:cs="宋体"/>
          <w:bCs/>
          <w:sz w:val="24"/>
          <w:highlight w:val="none"/>
          <w:lang w:bidi="ar"/>
        </w:rPr>
        <w:t>日</w:t>
      </w:r>
    </w:p>
    <w:p w14:paraId="020BCF06">
      <w:pPr>
        <w:snapToGrid w:val="0"/>
        <w:spacing w:line="400" w:lineRule="exact"/>
        <w:ind w:firstLine="463" w:firstLineChars="192"/>
        <w:contextualSpacing/>
        <w:rPr>
          <w:rFonts w:hint="eastAsia" w:ascii="宋体" w:hAnsi="宋体" w:cs="宋体"/>
          <w:b/>
          <w:kern w:val="0"/>
          <w:sz w:val="24"/>
          <w:highlight w:val="none"/>
        </w:rPr>
      </w:pPr>
    </w:p>
    <w:p w14:paraId="12BA6F1B">
      <w:pPr>
        <w:snapToGrid w:val="0"/>
        <w:spacing w:line="400" w:lineRule="exact"/>
        <w:ind w:firstLine="540" w:firstLineChars="192"/>
        <w:contextualSpacing/>
        <w:rPr>
          <w:rFonts w:hint="eastAsia" w:ascii="宋体" w:hAnsi="宋体" w:cs="宋体"/>
          <w:b/>
          <w:kern w:val="0"/>
          <w:sz w:val="28"/>
          <w:szCs w:val="28"/>
          <w:highlight w:val="none"/>
        </w:rPr>
      </w:pPr>
    </w:p>
    <w:p w14:paraId="5DA34CDD">
      <w:pPr>
        <w:snapToGrid w:val="0"/>
        <w:spacing w:line="400" w:lineRule="exact"/>
        <w:contextualSpacing/>
        <w:rPr>
          <w:rFonts w:hint="eastAsia" w:ascii="宋体" w:hAnsi="宋体" w:cs="宋体"/>
          <w:kern w:val="0"/>
          <w:sz w:val="32"/>
          <w:szCs w:val="32"/>
          <w:highlight w:val="none"/>
        </w:rPr>
        <w:sectPr>
          <w:pgSz w:w="11907" w:h="16839"/>
          <w:pgMar w:top="1440" w:right="1417" w:bottom="1440" w:left="1417" w:header="720" w:footer="720" w:gutter="0"/>
          <w:cols w:space="720" w:num="1"/>
          <w:docGrid w:linePitch="286" w:charSpace="0"/>
        </w:sectPr>
      </w:pPr>
    </w:p>
    <w:p w14:paraId="0C225FA6">
      <w:pPr>
        <w:snapToGrid w:val="0"/>
        <w:spacing w:line="400" w:lineRule="exact"/>
        <w:contextualSpacing/>
        <w:rPr>
          <w:rFonts w:ascii="宋体" w:hAnsi="宋体" w:cs="宋体"/>
          <w:kern w:val="0"/>
          <w:sz w:val="32"/>
          <w:szCs w:val="32"/>
          <w:highlight w:val="none"/>
        </w:rPr>
      </w:pPr>
      <w:r>
        <w:rPr>
          <w:rFonts w:hint="eastAsia" w:ascii="宋体" w:hAnsi="宋体" w:cs="宋体"/>
          <w:kern w:val="0"/>
          <w:sz w:val="32"/>
          <w:szCs w:val="32"/>
          <w:highlight w:val="none"/>
        </w:rPr>
        <w:t>附件5</w:t>
      </w:r>
    </w:p>
    <w:p w14:paraId="4864DC9C">
      <w:pPr>
        <w:widowControl/>
        <w:spacing w:line="420" w:lineRule="atLeast"/>
        <w:jc w:val="center"/>
        <w:rPr>
          <w:rFonts w:hint="eastAsia" w:ascii="宋体" w:hAnsi="宋体" w:cs="宋体"/>
          <w:kern w:val="0"/>
          <w:sz w:val="32"/>
          <w:szCs w:val="32"/>
          <w:highlight w:val="none"/>
        </w:rPr>
      </w:pPr>
      <w:r>
        <w:rPr>
          <w:rFonts w:hint="eastAsia" w:ascii="宋体" w:hAnsi="宋体" w:cs="宋体"/>
          <w:b/>
          <w:bCs/>
          <w:kern w:val="0"/>
          <w:sz w:val="32"/>
          <w:szCs w:val="32"/>
          <w:highlight w:val="none"/>
        </w:rPr>
        <w:t>谈判响应报价表</w:t>
      </w:r>
    </w:p>
    <w:p w14:paraId="7DAF65F6">
      <w:pPr>
        <w:adjustRightInd w:val="0"/>
        <w:snapToGrid w:val="0"/>
        <w:spacing w:line="480" w:lineRule="atLeast"/>
        <w:jc w:val="center"/>
        <w:rPr>
          <w:rFonts w:hint="eastAsia" w:ascii="宋体" w:hAnsi="宋体" w:cs="宋体"/>
          <w:sz w:val="28"/>
          <w:szCs w:val="28"/>
          <w:highlight w:val="none"/>
          <w:lang w:val="en-US" w:eastAsia="zh-CN"/>
        </w:rPr>
      </w:pPr>
    </w:p>
    <w:p w14:paraId="771DC1FE">
      <w:pPr>
        <w:adjustRightInd w:val="0"/>
        <w:snapToGrid w:val="0"/>
        <w:spacing w:line="480" w:lineRule="atLeast"/>
        <w:jc w:val="both"/>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项目名称：</w:t>
      </w:r>
      <w:r>
        <w:rPr>
          <w:rFonts w:hint="eastAsia" w:ascii="宋体" w:hAnsi="宋体" w:cs="宋体"/>
          <w:sz w:val="28"/>
          <w:szCs w:val="28"/>
          <w:highlight w:val="none"/>
          <w:lang w:eastAsia="zh-CN"/>
        </w:rPr>
        <w:t>启东市自来水厂有限公司2026年度设备运输、材料搬运使用随车吊、吊车服务年度采购项目</w:t>
      </w:r>
    </w:p>
    <w:tbl>
      <w:tblPr>
        <w:tblStyle w:val="23"/>
        <w:tblW w:w="10507" w:type="dxa"/>
        <w:tblInd w:w="-472" w:type="dxa"/>
        <w:tblLayout w:type="autofit"/>
        <w:tblCellMar>
          <w:top w:w="0" w:type="dxa"/>
          <w:left w:w="108" w:type="dxa"/>
          <w:bottom w:w="0" w:type="dxa"/>
          <w:right w:w="108" w:type="dxa"/>
        </w:tblCellMar>
      </w:tblPr>
      <w:tblGrid>
        <w:gridCol w:w="745"/>
        <w:gridCol w:w="1000"/>
        <w:gridCol w:w="2153"/>
        <w:gridCol w:w="745"/>
        <w:gridCol w:w="3062"/>
        <w:gridCol w:w="1768"/>
        <w:gridCol w:w="1034"/>
      </w:tblGrid>
      <w:tr w14:paraId="756FB856">
        <w:tblPrEx>
          <w:tblCellMar>
            <w:top w:w="0" w:type="dxa"/>
            <w:left w:w="108" w:type="dxa"/>
            <w:bottom w:w="0" w:type="dxa"/>
            <w:right w:w="108" w:type="dxa"/>
          </w:tblCellMar>
        </w:tblPrEx>
        <w:trPr>
          <w:trHeight w:val="45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BEAF1A">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46707DD">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车型</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E24797C">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型号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6B67887">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35A62B1">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i w:val="0"/>
                <w:iCs w:val="0"/>
                <w:color w:val="000000"/>
                <w:kern w:val="0"/>
                <w:sz w:val="24"/>
                <w:szCs w:val="24"/>
                <w:u w:val="none"/>
                <w:lang w:val="en-US" w:eastAsia="zh-CN" w:bidi="ar"/>
              </w:rPr>
              <w:t>分项</w:t>
            </w:r>
            <w:r>
              <w:rPr>
                <w:rFonts w:hint="eastAsia" w:ascii="仿宋" w:hAnsi="仿宋" w:eastAsia="仿宋" w:cs="仿宋"/>
                <w:b/>
                <w:bCs/>
                <w:color w:val="000000"/>
                <w:kern w:val="0"/>
                <w:sz w:val="24"/>
                <w:highlight w:val="none"/>
                <w:lang w:val="en-US" w:eastAsia="zh-CN"/>
              </w:rPr>
              <w:t>综合单价报价</w:t>
            </w:r>
            <w:r>
              <w:rPr>
                <w:rFonts w:hint="eastAsia" w:ascii="仿宋" w:hAnsi="仿宋" w:eastAsia="仿宋" w:cs="仿宋"/>
                <w:b/>
                <w:bCs/>
                <w:color w:val="000000"/>
                <w:kern w:val="0"/>
                <w:sz w:val="24"/>
                <w:highlight w:val="none"/>
              </w:rPr>
              <w:t>（元）</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C3DF9E7">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备注</w:t>
            </w:r>
          </w:p>
        </w:tc>
        <w:tc>
          <w:tcPr>
            <w:tcW w:w="968" w:type="dxa"/>
            <w:tcBorders>
              <w:top w:val="single" w:color="auto" w:sz="4" w:space="0"/>
              <w:left w:val="nil"/>
              <w:bottom w:val="single" w:color="auto" w:sz="4" w:space="0"/>
              <w:right w:val="single" w:color="auto" w:sz="4" w:space="0"/>
            </w:tcBorders>
            <w:shd w:val="clear" w:color="auto" w:fill="auto"/>
            <w:noWrap/>
            <w:vAlign w:val="center"/>
          </w:tcPr>
          <w:p w14:paraId="4524E4A0">
            <w:pPr>
              <w:widowControl/>
              <w:spacing w:line="360" w:lineRule="exact"/>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lang w:val="en-US" w:eastAsia="zh-CN"/>
              </w:rPr>
              <w:t>下浮率（%）</w:t>
            </w:r>
          </w:p>
        </w:tc>
      </w:tr>
      <w:tr w14:paraId="47F06A3F">
        <w:tblPrEx>
          <w:tblCellMar>
            <w:top w:w="0" w:type="dxa"/>
            <w:left w:w="108" w:type="dxa"/>
            <w:bottom w:w="0" w:type="dxa"/>
            <w:right w:w="108" w:type="dxa"/>
          </w:tblCellMar>
        </w:tblPrEx>
        <w:trPr>
          <w:trHeight w:val="283"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6EEE16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4EEC630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随车吊</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5D7E799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9米</w:t>
            </w:r>
          </w:p>
        </w:tc>
        <w:tc>
          <w:tcPr>
            <w:tcW w:w="0" w:type="auto"/>
            <w:tcBorders>
              <w:top w:val="nil"/>
              <w:left w:val="nil"/>
              <w:bottom w:val="single" w:color="auto" w:sz="4" w:space="0"/>
              <w:right w:val="single" w:color="auto" w:sz="4" w:space="0"/>
            </w:tcBorders>
            <w:shd w:val="clear" w:color="auto" w:fill="auto"/>
            <w:noWrap/>
            <w:vAlign w:val="center"/>
          </w:tcPr>
          <w:p w14:paraId="7C4A79B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037C65FC">
            <w:pPr>
              <w:keepNext w:val="0"/>
              <w:keepLines w:val="0"/>
              <w:widowControl/>
              <w:suppressLineNumbers w:val="0"/>
              <w:jc w:val="center"/>
              <w:textAlignment w:val="center"/>
              <w:rPr>
                <w:rFonts w:hint="eastAsia" w:ascii="仿宋" w:hAnsi="仿宋" w:eastAsia="仿宋" w:cs="仿宋"/>
                <w:color w:val="000000"/>
                <w:kern w:val="0"/>
                <w:sz w:val="24"/>
                <w:highlight w:val="none"/>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5CB3EF9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城区内</w:t>
            </w:r>
          </w:p>
        </w:tc>
        <w:tc>
          <w:tcPr>
            <w:tcW w:w="968" w:type="dxa"/>
            <w:vMerge w:val="restart"/>
            <w:tcBorders>
              <w:top w:val="nil"/>
              <w:left w:val="nil"/>
              <w:right w:val="single" w:color="auto" w:sz="4" w:space="0"/>
            </w:tcBorders>
            <w:shd w:val="clear" w:color="auto" w:fill="auto"/>
            <w:noWrap/>
            <w:vAlign w:val="center"/>
          </w:tcPr>
          <w:p w14:paraId="7B655E05">
            <w:pPr>
              <w:widowControl/>
              <w:jc w:val="center"/>
              <w:rPr>
                <w:rFonts w:hint="eastAsia" w:ascii="仿宋" w:hAnsi="仿宋" w:eastAsia="仿宋" w:cs="仿宋"/>
                <w:color w:val="000000"/>
                <w:kern w:val="0"/>
                <w:sz w:val="24"/>
                <w:highlight w:val="none"/>
              </w:rPr>
            </w:pPr>
          </w:p>
        </w:tc>
      </w:tr>
      <w:tr w14:paraId="0F054EA3">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000000" w:sz="4" w:space="0"/>
              <w:right w:val="single" w:color="auto" w:sz="4" w:space="0"/>
            </w:tcBorders>
            <w:vAlign w:val="center"/>
          </w:tcPr>
          <w:p w14:paraId="73222EA6">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25DBC4D1">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28CBD411">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18F874C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668E441B">
            <w:pPr>
              <w:keepNext w:val="0"/>
              <w:keepLines w:val="0"/>
              <w:widowControl/>
              <w:suppressLineNumbers w:val="0"/>
              <w:jc w:val="center"/>
              <w:textAlignment w:val="center"/>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6C7B476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43A00CC7">
            <w:pPr>
              <w:widowControl/>
              <w:jc w:val="center"/>
              <w:rPr>
                <w:rFonts w:hint="eastAsia" w:ascii="仿宋" w:hAnsi="仿宋" w:eastAsia="仿宋" w:cs="仿宋"/>
                <w:color w:val="000000"/>
                <w:kern w:val="0"/>
                <w:sz w:val="24"/>
                <w:highlight w:val="none"/>
              </w:rPr>
            </w:pPr>
          </w:p>
        </w:tc>
      </w:tr>
      <w:tr w14:paraId="659FD2C2">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000000" w:sz="4" w:space="0"/>
              <w:right w:val="single" w:color="auto" w:sz="4" w:space="0"/>
            </w:tcBorders>
            <w:vAlign w:val="center"/>
          </w:tcPr>
          <w:p w14:paraId="56910BB1">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0EC921FC">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625F5EE5">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3074EC2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0FA45B4D">
            <w:pPr>
              <w:keepNext w:val="0"/>
              <w:keepLines w:val="0"/>
              <w:widowControl/>
              <w:suppressLineNumbers w:val="0"/>
              <w:jc w:val="center"/>
              <w:textAlignment w:val="center"/>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41FA18C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每天按8小时</w:t>
            </w:r>
          </w:p>
        </w:tc>
        <w:tc>
          <w:tcPr>
            <w:tcW w:w="968" w:type="dxa"/>
            <w:vMerge w:val="continue"/>
            <w:tcBorders>
              <w:left w:val="nil"/>
              <w:right w:val="single" w:color="auto" w:sz="4" w:space="0"/>
            </w:tcBorders>
            <w:shd w:val="clear" w:color="auto" w:fill="auto"/>
            <w:noWrap/>
            <w:vAlign w:val="center"/>
          </w:tcPr>
          <w:p w14:paraId="44921F02">
            <w:pPr>
              <w:widowControl/>
              <w:jc w:val="center"/>
              <w:rPr>
                <w:rFonts w:hint="eastAsia" w:ascii="仿宋" w:hAnsi="仿宋" w:eastAsia="仿宋" w:cs="仿宋"/>
                <w:color w:val="000000"/>
                <w:kern w:val="0"/>
                <w:sz w:val="24"/>
                <w:highlight w:val="none"/>
              </w:rPr>
            </w:pPr>
          </w:p>
        </w:tc>
      </w:tr>
      <w:tr w14:paraId="75676053">
        <w:trPr>
          <w:trHeight w:val="283" w:hRule="atLeast"/>
        </w:trPr>
        <w:tc>
          <w:tcPr>
            <w:tcW w:w="0" w:type="auto"/>
            <w:vMerge w:val="continue"/>
            <w:tcBorders>
              <w:top w:val="nil"/>
              <w:left w:val="single" w:color="auto" w:sz="4" w:space="0"/>
              <w:bottom w:val="single" w:color="000000" w:sz="4" w:space="0"/>
              <w:right w:val="single" w:color="auto" w:sz="4" w:space="0"/>
            </w:tcBorders>
            <w:vAlign w:val="center"/>
          </w:tcPr>
          <w:p w14:paraId="50CA4EB7">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75C2FB92">
            <w:pPr>
              <w:widowControl/>
              <w:jc w:val="left"/>
              <w:rPr>
                <w:rFonts w:hint="eastAsia" w:ascii="仿宋" w:hAnsi="仿宋" w:eastAsia="仿宋" w:cs="仿宋"/>
                <w:color w:val="000000"/>
                <w:kern w:val="0"/>
                <w:sz w:val="24"/>
                <w:highlight w:val="none"/>
              </w:rPr>
            </w:pPr>
          </w:p>
        </w:tc>
        <w:tc>
          <w:tcPr>
            <w:tcW w:w="0" w:type="auto"/>
            <w:vMerge w:val="restart"/>
            <w:tcBorders>
              <w:top w:val="nil"/>
              <w:left w:val="single" w:color="auto" w:sz="4" w:space="0"/>
              <w:right w:val="single" w:color="auto" w:sz="4" w:space="0"/>
            </w:tcBorders>
            <w:vAlign w:val="center"/>
          </w:tcPr>
          <w:p w14:paraId="0CB28D57">
            <w:pPr>
              <w:widowControl/>
              <w:jc w:val="center"/>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12米</w:t>
            </w:r>
          </w:p>
        </w:tc>
        <w:tc>
          <w:tcPr>
            <w:tcW w:w="0" w:type="auto"/>
            <w:tcBorders>
              <w:top w:val="nil"/>
              <w:left w:val="nil"/>
              <w:bottom w:val="single" w:color="auto" w:sz="4" w:space="0"/>
              <w:right w:val="single" w:color="auto" w:sz="4" w:space="0"/>
            </w:tcBorders>
            <w:shd w:val="clear" w:color="auto" w:fill="auto"/>
            <w:noWrap/>
            <w:vAlign w:val="center"/>
          </w:tcPr>
          <w:p w14:paraId="73F9739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3B322F98">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567C21C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c>
          <w:tcPr>
            <w:tcW w:w="968" w:type="dxa"/>
            <w:vMerge w:val="continue"/>
            <w:tcBorders>
              <w:left w:val="nil"/>
              <w:right w:val="single" w:color="auto" w:sz="4" w:space="0"/>
            </w:tcBorders>
            <w:shd w:val="clear" w:color="auto" w:fill="auto"/>
            <w:noWrap/>
            <w:vAlign w:val="center"/>
          </w:tcPr>
          <w:p w14:paraId="52CFC0FE">
            <w:pPr>
              <w:widowControl/>
              <w:jc w:val="center"/>
              <w:rPr>
                <w:rFonts w:hint="eastAsia" w:ascii="仿宋" w:hAnsi="仿宋" w:eastAsia="仿宋" w:cs="仿宋"/>
                <w:kern w:val="0"/>
                <w:sz w:val="24"/>
                <w:highlight w:val="none"/>
              </w:rPr>
            </w:pPr>
          </w:p>
        </w:tc>
      </w:tr>
      <w:tr w14:paraId="2A925F82">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000000" w:sz="4" w:space="0"/>
              <w:right w:val="single" w:color="auto" w:sz="4" w:space="0"/>
            </w:tcBorders>
            <w:vAlign w:val="center"/>
          </w:tcPr>
          <w:p w14:paraId="00A26B63">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3F50D262">
            <w:pPr>
              <w:widowControl/>
              <w:jc w:val="left"/>
              <w:rPr>
                <w:rFonts w:hint="eastAsia" w:ascii="仿宋" w:hAnsi="仿宋" w:eastAsia="仿宋" w:cs="仿宋"/>
                <w:color w:val="000000"/>
                <w:kern w:val="0"/>
                <w:sz w:val="24"/>
                <w:highlight w:val="none"/>
              </w:rPr>
            </w:pPr>
          </w:p>
        </w:tc>
        <w:tc>
          <w:tcPr>
            <w:tcW w:w="0" w:type="auto"/>
            <w:vMerge w:val="continue"/>
            <w:tcBorders>
              <w:left w:val="single" w:color="auto" w:sz="4" w:space="0"/>
              <w:right w:val="single" w:color="auto" w:sz="4" w:space="0"/>
            </w:tcBorders>
            <w:vAlign w:val="center"/>
          </w:tcPr>
          <w:p w14:paraId="519CEBC2">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59386D1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7F7FB4DE">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5F40039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13E5E13C">
            <w:pPr>
              <w:widowControl/>
              <w:jc w:val="center"/>
              <w:rPr>
                <w:rFonts w:hint="eastAsia" w:ascii="仿宋" w:hAnsi="仿宋" w:eastAsia="仿宋" w:cs="仿宋"/>
                <w:kern w:val="0"/>
                <w:sz w:val="24"/>
                <w:highlight w:val="none"/>
              </w:rPr>
            </w:pPr>
          </w:p>
        </w:tc>
      </w:tr>
      <w:tr w14:paraId="62A648F9">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1C377013">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B52FB1A">
            <w:pPr>
              <w:widowControl/>
              <w:jc w:val="left"/>
              <w:rPr>
                <w:rFonts w:hint="eastAsia" w:ascii="仿宋" w:hAnsi="仿宋" w:eastAsia="仿宋" w:cs="仿宋"/>
                <w:color w:val="000000"/>
                <w:kern w:val="0"/>
                <w:sz w:val="24"/>
                <w:highlight w:val="none"/>
              </w:rPr>
            </w:pPr>
          </w:p>
        </w:tc>
        <w:tc>
          <w:tcPr>
            <w:tcW w:w="0" w:type="auto"/>
            <w:vMerge w:val="continue"/>
            <w:tcBorders>
              <w:left w:val="single" w:color="auto" w:sz="4" w:space="0"/>
              <w:bottom w:val="single" w:color="auto" w:sz="4" w:space="0"/>
              <w:right w:val="single" w:color="auto" w:sz="4" w:space="0"/>
            </w:tcBorders>
            <w:vAlign w:val="center"/>
          </w:tcPr>
          <w:p w14:paraId="5627EDAA">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3913071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5F991124">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551040E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c>
          <w:tcPr>
            <w:tcW w:w="968" w:type="dxa"/>
            <w:vMerge w:val="continue"/>
            <w:tcBorders>
              <w:left w:val="nil"/>
              <w:right w:val="single" w:color="auto" w:sz="4" w:space="0"/>
            </w:tcBorders>
            <w:shd w:val="clear" w:color="auto" w:fill="auto"/>
            <w:noWrap/>
            <w:vAlign w:val="center"/>
          </w:tcPr>
          <w:p w14:paraId="762CF1B6">
            <w:pPr>
              <w:widowControl/>
              <w:jc w:val="center"/>
              <w:rPr>
                <w:rFonts w:hint="eastAsia" w:ascii="仿宋" w:hAnsi="仿宋" w:eastAsia="仿宋" w:cs="仿宋"/>
                <w:kern w:val="0"/>
                <w:sz w:val="24"/>
                <w:highlight w:val="none"/>
              </w:rPr>
            </w:pPr>
          </w:p>
        </w:tc>
      </w:tr>
      <w:tr w14:paraId="042941F4">
        <w:tblPrEx>
          <w:tblCellMar>
            <w:top w:w="0" w:type="dxa"/>
            <w:left w:w="108" w:type="dxa"/>
            <w:bottom w:w="0" w:type="dxa"/>
            <w:right w:w="108" w:type="dxa"/>
          </w:tblCellMar>
        </w:tblPrEx>
        <w:trPr>
          <w:trHeight w:val="283"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D8CD2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548C7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吊车</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F140B5A">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＞8吨，≤15吨</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62EC41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E0F2352">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04D0DC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c>
          <w:tcPr>
            <w:tcW w:w="968" w:type="dxa"/>
            <w:vMerge w:val="continue"/>
            <w:tcBorders>
              <w:left w:val="nil"/>
              <w:right w:val="single" w:color="auto" w:sz="4" w:space="0"/>
            </w:tcBorders>
            <w:shd w:val="clear" w:color="auto" w:fill="auto"/>
            <w:noWrap/>
            <w:vAlign w:val="center"/>
          </w:tcPr>
          <w:p w14:paraId="4E18E25A">
            <w:pPr>
              <w:widowControl/>
              <w:jc w:val="center"/>
              <w:rPr>
                <w:rFonts w:hint="eastAsia" w:ascii="仿宋" w:hAnsi="仿宋" w:eastAsia="仿宋" w:cs="仿宋"/>
                <w:kern w:val="0"/>
                <w:sz w:val="24"/>
                <w:highlight w:val="none"/>
              </w:rPr>
            </w:pPr>
          </w:p>
        </w:tc>
      </w:tr>
      <w:tr w14:paraId="7F8B48C0">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0B179E6D">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D80A247">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47658AB9">
            <w:pPr>
              <w:widowControl/>
              <w:jc w:val="left"/>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41754F9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03F7F4D2">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1177822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66DB842D">
            <w:pPr>
              <w:widowControl/>
              <w:jc w:val="center"/>
              <w:rPr>
                <w:rFonts w:hint="eastAsia" w:ascii="仿宋" w:hAnsi="仿宋" w:eastAsia="仿宋" w:cs="仿宋"/>
                <w:kern w:val="0"/>
                <w:sz w:val="24"/>
                <w:highlight w:val="none"/>
              </w:rPr>
            </w:pPr>
          </w:p>
        </w:tc>
      </w:tr>
      <w:tr w14:paraId="1E3B2F31">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7AEE6A6D">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2FD347D9">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435537CA">
            <w:pPr>
              <w:widowControl/>
              <w:jc w:val="left"/>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1D5DC36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3DECDBFC">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1CF8BC9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c>
          <w:tcPr>
            <w:tcW w:w="968" w:type="dxa"/>
            <w:vMerge w:val="continue"/>
            <w:tcBorders>
              <w:left w:val="nil"/>
              <w:right w:val="single" w:color="auto" w:sz="4" w:space="0"/>
            </w:tcBorders>
            <w:shd w:val="clear" w:color="auto" w:fill="auto"/>
            <w:noWrap/>
            <w:vAlign w:val="center"/>
          </w:tcPr>
          <w:p w14:paraId="745F06AC">
            <w:pPr>
              <w:widowControl/>
              <w:jc w:val="center"/>
              <w:rPr>
                <w:rFonts w:hint="eastAsia" w:ascii="仿宋" w:hAnsi="仿宋" w:eastAsia="仿宋" w:cs="仿宋"/>
                <w:kern w:val="0"/>
                <w:sz w:val="24"/>
                <w:highlight w:val="none"/>
              </w:rPr>
            </w:pPr>
          </w:p>
        </w:tc>
      </w:tr>
      <w:tr w14:paraId="1C920839">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1F00D043">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08FF320B">
            <w:pPr>
              <w:widowControl/>
              <w:jc w:val="left"/>
              <w:rPr>
                <w:rFonts w:hint="eastAsia" w:ascii="仿宋" w:hAnsi="仿宋" w:eastAsia="仿宋" w:cs="仿宋"/>
                <w:color w:val="000000"/>
                <w:kern w:val="0"/>
                <w:sz w:val="24"/>
                <w:highlight w:val="none"/>
              </w:rPr>
            </w:pPr>
          </w:p>
        </w:tc>
        <w:tc>
          <w:tcPr>
            <w:tcW w:w="0" w:type="auto"/>
            <w:vMerge w:val="restart"/>
            <w:tcBorders>
              <w:top w:val="nil"/>
              <w:left w:val="single" w:color="auto" w:sz="4" w:space="0"/>
              <w:right w:val="single" w:color="auto" w:sz="4" w:space="0"/>
            </w:tcBorders>
            <w:vAlign w:val="center"/>
          </w:tcPr>
          <w:p w14:paraId="24DBD5D0">
            <w:pPr>
              <w:widowControl/>
              <w:jc w:val="center"/>
              <w:rPr>
                <w:rFonts w:hint="default" w:ascii="仿宋" w:hAnsi="仿宋" w:eastAsia="仿宋" w:cs="仿宋"/>
                <w:kern w:val="0"/>
                <w:sz w:val="24"/>
                <w:highlight w:val="none"/>
                <w:lang w:val="en-US" w:eastAsia="zh-CN"/>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＞15吨，≤25吨</w:t>
            </w:r>
          </w:p>
        </w:tc>
        <w:tc>
          <w:tcPr>
            <w:tcW w:w="0" w:type="auto"/>
            <w:tcBorders>
              <w:top w:val="nil"/>
              <w:left w:val="nil"/>
              <w:bottom w:val="single" w:color="auto" w:sz="4" w:space="0"/>
              <w:right w:val="single" w:color="auto" w:sz="4" w:space="0"/>
            </w:tcBorders>
            <w:shd w:val="clear" w:color="auto" w:fill="auto"/>
            <w:noWrap/>
            <w:vAlign w:val="center"/>
          </w:tcPr>
          <w:p w14:paraId="08DB4F6B">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04EEDB65">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1201B0E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c>
          <w:tcPr>
            <w:tcW w:w="968" w:type="dxa"/>
            <w:vMerge w:val="continue"/>
            <w:tcBorders>
              <w:left w:val="nil"/>
              <w:right w:val="single" w:color="auto" w:sz="4" w:space="0"/>
            </w:tcBorders>
            <w:shd w:val="clear" w:color="auto" w:fill="auto"/>
            <w:noWrap/>
            <w:vAlign w:val="center"/>
          </w:tcPr>
          <w:p w14:paraId="6E935740">
            <w:pPr>
              <w:widowControl/>
              <w:jc w:val="center"/>
              <w:rPr>
                <w:rFonts w:hint="eastAsia" w:ascii="仿宋" w:hAnsi="仿宋" w:eastAsia="仿宋" w:cs="仿宋"/>
                <w:kern w:val="0"/>
                <w:sz w:val="24"/>
                <w:highlight w:val="none"/>
              </w:rPr>
            </w:pPr>
          </w:p>
        </w:tc>
      </w:tr>
      <w:tr w14:paraId="7B2FA572">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0BC64728">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4C56CAB">
            <w:pPr>
              <w:widowControl/>
              <w:jc w:val="left"/>
              <w:rPr>
                <w:rFonts w:hint="eastAsia" w:ascii="仿宋" w:hAnsi="仿宋" w:eastAsia="仿宋" w:cs="仿宋"/>
                <w:color w:val="000000"/>
                <w:kern w:val="0"/>
                <w:sz w:val="24"/>
                <w:highlight w:val="none"/>
              </w:rPr>
            </w:pPr>
          </w:p>
        </w:tc>
        <w:tc>
          <w:tcPr>
            <w:tcW w:w="0" w:type="auto"/>
            <w:vMerge w:val="continue"/>
            <w:tcBorders>
              <w:left w:val="single" w:color="auto" w:sz="4" w:space="0"/>
              <w:right w:val="single" w:color="auto" w:sz="4" w:space="0"/>
            </w:tcBorders>
            <w:vAlign w:val="center"/>
          </w:tcPr>
          <w:p w14:paraId="228DD151">
            <w:pPr>
              <w:widowControl/>
              <w:jc w:val="left"/>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3849E86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250A4D1B">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381CA3E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0E906748">
            <w:pPr>
              <w:widowControl/>
              <w:jc w:val="center"/>
              <w:rPr>
                <w:rFonts w:hint="eastAsia" w:ascii="仿宋" w:hAnsi="仿宋" w:eastAsia="仿宋" w:cs="仿宋"/>
                <w:kern w:val="0"/>
                <w:sz w:val="24"/>
                <w:highlight w:val="none"/>
              </w:rPr>
            </w:pPr>
          </w:p>
        </w:tc>
      </w:tr>
      <w:tr w14:paraId="08CEEC34">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4FF19469">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42D10CDE">
            <w:pPr>
              <w:widowControl/>
              <w:jc w:val="left"/>
              <w:rPr>
                <w:rFonts w:hint="eastAsia" w:ascii="仿宋" w:hAnsi="仿宋" w:eastAsia="仿宋" w:cs="仿宋"/>
                <w:color w:val="000000"/>
                <w:kern w:val="0"/>
                <w:sz w:val="24"/>
                <w:highlight w:val="none"/>
              </w:rPr>
            </w:pPr>
          </w:p>
        </w:tc>
        <w:tc>
          <w:tcPr>
            <w:tcW w:w="0" w:type="auto"/>
            <w:vMerge w:val="continue"/>
            <w:tcBorders>
              <w:left w:val="single" w:color="auto" w:sz="4" w:space="0"/>
              <w:bottom w:val="single" w:color="000000" w:sz="4" w:space="0"/>
              <w:right w:val="single" w:color="auto" w:sz="4" w:space="0"/>
            </w:tcBorders>
            <w:vAlign w:val="center"/>
          </w:tcPr>
          <w:p w14:paraId="0F978EA8">
            <w:pPr>
              <w:widowControl/>
              <w:jc w:val="left"/>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67002B3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3C0F0E79">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4B7A9B7B">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c>
          <w:tcPr>
            <w:tcW w:w="968" w:type="dxa"/>
            <w:vMerge w:val="continue"/>
            <w:tcBorders>
              <w:left w:val="nil"/>
              <w:right w:val="single" w:color="auto" w:sz="4" w:space="0"/>
            </w:tcBorders>
            <w:shd w:val="clear" w:color="auto" w:fill="auto"/>
            <w:noWrap/>
            <w:vAlign w:val="center"/>
          </w:tcPr>
          <w:p w14:paraId="2B0EE325">
            <w:pPr>
              <w:widowControl/>
              <w:jc w:val="center"/>
              <w:rPr>
                <w:rFonts w:hint="eastAsia" w:ascii="仿宋" w:hAnsi="仿宋" w:eastAsia="仿宋" w:cs="仿宋"/>
                <w:kern w:val="0"/>
                <w:sz w:val="24"/>
                <w:highlight w:val="none"/>
              </w:rPr>
            </w:pPr>
          </w:p>
        </w:tc>
      </w:tr>
      <w:tr w14:paraId="58753B77">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6A9101D6">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2976CB8">
            <w:pPr>
              <w:widowControl/>
              <w:jc w:val="left"/>
              <w:rPr>
                <w:rFonts w:hint="eastAsia" w:ascii="仿宋" w:hAnsi="仿宋" w:eastAsia="仿宋" w:cs="仿宋"/>
                <w:color w:val="000000"/>
                <w:kern w:val="0"/>
                <w:sz w:val="24"/>
                <w:highlight w:val="none"/>
              </w:rPr>
            </w:pP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00D48EF">
            <w:pPr>
              <w:widowControl/>
              <w:jc w:val="center"/>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＞25吨，≤30吨</w:t>
            </w:r>
          </w:p>
        </w:tc>
        <w:tc>
          <w:tcPr>
            <w:tcW w:w="0" w:type="auto"/>
            <w:tcBorders>
              <w:top w:val="nil"/>
              <w:left w:val="nil"/>
              <w:bottom w:val="single" w:color="auto" w:sz="4" w:space="0"/>
              <w:right w:val="single" w:color="auto" w:sz="4" w:space="0"/>
            </w:tcBorders>
            <w:shd w:val="clear" w:color="auto" w:fill="auto"/>
            <w:noWrap/>
            <w:vAlign w:val="center"/>
          </w:tcPr>
          <w:p w14:paraId="6197D320">
            <w:pPr>
              <w:widowControl/>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次</w:t>
            </w:r>
          </w:p>
        </w:tc>
        <w:tc>
          <w:tcPr>
            <w:tcW w:w="0" w:type="auto"/>
            <w:tcBorders>
              <w:top w:val="nil"/>
              <w:left w:val="nil"/>
              <w:bottom w:val="single" w:color="auto" w:sz="4" w:space="0"/>
              <w:right w:val="single" w:color="auto" w:sz="4" w:space="0"/>
            </w:tcBorders>
            <w:shd w:val="clear" w:color="auto" w:fill="auto"/>
            <w:noWrap/>
            <w:vAlign w:val="center"/>
          </w:tcPr>
          <w:p w14:paraId="5BE8DB07">
            <w:pPr>
              <w:keepNext w:val="0"/>
              <w:keepLines w:val="0"/>
              <w:widowControl/>
              <w:suppressLineNumbers w:val="0"/>
              <w:jc w:val="center"/>
              <w:textAlignment w:val="center"/>
              <w:rPr>
                <w:rFonts w:hint="eastAsia" w:ascii="仿宋" w:hAnsi="仿宋" w:eastAsia="仿宋" w:cs="仿宋"/>
                <w:color w:val="000000" w:themeColor="text1"/>
                <w:kern w:val="0"/>
                <w:sz w:val="24"/>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0D95D0C2">
            <w:pPr>
              <w:widowControl/>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城区内</w:t>
            </w:r>
          </w:p>
        </w:tc>
        <w:tc>
          <w:tcPr>
            <w:tcW w:w="968" w:type="dxa"/>
            <w:vMerge w:val="continue"/>
            <w:tcBorders>
              <w:left w:val="nil"/>
              <w:right w:val="single" w:color="auto" w:sz="4" w:space="0"/>
            </w:tcBorders>
            <w:shd w:val="clear" w:color="auto" w:fill="auto"/>
            <w:noWrap/>
            <w:vAlign w:val="center"/>
          </w:tcPr>
          <w:p w14:paraId="1BB5E0E1">
            <w:pPr>
              <w:widowControl/>
              <w:jc w:val="center"/>
              <w:rPr>
                <w:rFonts w:hint="eastAsia" w:ascii="仿宋" w:hAnsi="仿宋" w:eastAsia="仿宋" w:cs="仿宋"/>
                <w:color w:val="000000" w:themeColor="text1"/>
                <w:kern w:val="0"/>
                <w:sz w:val="24"/>
                <w:highlight w:val="none"/>
                <w14:textFill>
                  <w14:solidFill>
                    <w14:schemeClr w14:val="tx1"/>
                  </w14:solidFill>
                </w14:textFill>
              </w:rPr>
            </w:pPr>
          </w:p>
        </w:tc>
      </w:tr>
      <w:tr w14:paraId="4E17DB79">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22CDE291">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53869FB">
            <w:pPr>
              <w:widowControl/>
              <w:jc w:val="left"/>
              <w:rPr>
                <w:rFonts w:hint="eastAsia" w:ascii="仿宋" w:hAnsi="仿宋" w:eastAsia="仿宋" w:cs="仿宋"/>
                <w:color w:val="000000"/>
                <w:kern w:val="0"/>
                <w:sz w:val="24"/>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45A3284A">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319B41D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4B9EA887">
            <w:pPr>
              <w:keepNext w:val="0"/>
              <w:keepLines w:val="0"/>
              <w:widowControl/>
              <w:suppressLineNumbers w:val="0"/>
              <w:jc w:val="center"/>
              <w:textAlignment w:val="center"/>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66E6EC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6B444241">
            <w:pPr>
              <w:widowControl/>
              <w:jc w:val="center"/>
              <w:rPr>
                <w:rFonts w:hint="eastAsia" w:ascii="仿宋" w:hAnsi="仿宋" w:eastAsia="仿宋" w:cs="仿宋"/>
                <w:color w:val="000000"/>
                <w:kern w:val="0"/>
                <w:sz w:val="24"/>
                <w:highlight w:val="none"/>
              </w:rPr>
            </w:pPr>
          </w:p>
        </w:tc>
      </w:tr>
      <w:tr w14:paraId="27DE50DD">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3DE4F608">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978B3D1">
            <w:pPr>
              <w:widowControl/>
              <w:jc w:val="left"/>
              <w:rPr>
                <w:rFonts w:hint="eastAsia" w:ascii="仿宋" w:hAnsi="仿宋" w:eastAsia="仿宋" w:cs="仿宋"/>
                <w:color w:val="000000"/>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129F7A">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61E186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1DDE4806">
            <w:pPr>
              <w:keepNext w:val="0"/>
              <w:keepLines w:val="0"/>
              <w:widowControl/>
              <w:suppressLineNumbers w:val="0"/>
              <w:jc w:val="center"/>
              <w:textAlignment w:val="center"/>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73548D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每天按8小时</w:t>
            </w:r>
          </w:p>
        </w:tc>
        <w:tc>
          <w:tcPr>
            <w:tcW w:w="968" w:type="dxa"/>
            <w:vMerge w:val="continue"/>
            <w:tcBorders>
              <w:left w:val="nil"/>
              <w:bottom w:val="single" w:color="auto" w:sz="4" w:space="0"/>
              <w:right w:val="single" w:color="auto" w:sz="4" w:space="0"/>
            </w:tcBorders>
            <w:shd w:val="clear" w:color="auto" w:fill="auto"/>
            <w:noWrap/>
            <w:vAlign w:val="center"/>
          </w:tcPr>
          <w:p w14:paraId="6D8377A8">
            <w:pPr>
              <w:widowControl/>
              <w:jc w:val="center"/>
              <w:rPr>
                <w:rFonts w:hint="eastAsia" w:ascii="仿宋" w:hAnsi="仿宋" w:eastAsia="仿宋" w:cs="仿宋"/>
                <w:color w:val="000000"/>
                <w:kern w:val="0"/>
                <w:sz w:val="24"/>
                <w:highlight w:val="none"/>
              </w:rPr>
            </w:pPr>
          </w:p>
        </w:tc>
      </w:tr>
      <w:tr w14:paraId="7B36B3DA">
        <w:tblPrEx>
          <w:tblCellMar>
            <w:top w:w="0" w:type="dxa"/>
            <w:left w:w="108" w:type="dxa"/>
            <w:bottom w:w="0" w:type="dxa"/>
            <w:right w:w="108" w:type="dxa"/>
          </w:tblCellMar>
        </w:tblPrEx>
        <w:trPr>
          <w:trHeight w:val="283" w:hRule="atLeast"/>
        </w:trPr>
        <w:tc>
          <w:tcPr>
            <w:tcW w:w="10507" w:type="dxa"/>
            <w:gridSpan w:val="7"/>
            <w:tcBorders>
              <w:top w:val="single" w:color="auto" w:sz="4" w:space="0"/>
              <w:left w:val="single" w:color="auto" w:sz="4" w:space="0"/>
              <w:bottom w:val="single" w:color="auto" w:sz="4" w:space="0"/>
              <w:right w:val="single" w:color="auto" w:sz="4" w:space="0"/>
            </w:tcBorders>
            <w:vAlign w:val="center"/>
          </w:tcPr>
          <w:p w14:paraId="22047FDC">
            <w:pPr>
              <w:widowControl/>
              <w:jc w:val="both"/>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注： 各投标供应商每项的分项单价报价与分项综合单价最高限价相比的下浮率必须一致，否则，作无效标处理。投标报价超过分项综</w:t>
            </w:r>
            <w:r>
              <w:rPr>
                <w:rFonts w:hint="eastAsia" w:ascii="仿宋" w:hAnsi="仿宋" w:eastAsia="仿宋" w:cs="仿宋"/>
                <w:b/>
                <w:bCs/>
                <w:i w:val="0"/>
                <w:iCs w:val="0"/>
                <w:color w:val="000000"/>
                <w:kern w:val="0"/>
                <w:sz w:val="24"/>
                <w:szCs w:val="24"/>
                <w:highlight w:val="none"/>
                <w:u w:val="none"/>
                <w:lang w:val="en-US" w:eastAsia="zh-CN" w:bidi="ar"/>
              </w:rPr>
              <w:t>合单价最高限价的作无效标处理。每次调配的吊车，其具体作业吨位均按采购人的实际要求执行。</w:t>
            </w:r>
          </w:p>
        </w:tc>
      </w:tr>
    </w:tbl>
    <w:p w14:paraId="1EC63A8C">
      <w:pPr>
        <w:pStyle w:val="2"/>
        <w:rPr>
          <w:rFonts w:hint="eastAsia" w:ascii="宋体" w:hAnsi="宋体" w:cs="宋体"/>
          <w:b/>
          <w:bCs/>
          <w:sz w:val="28"/>
          <w:szCs w:val="28"/>
          <w:highlight w:val="none"/>
        </w:rPr>
      </w:pPr>
    </w:p>
    <w:p w14:paraId="64786538">
      <w:pPr>
        <w:tabs>
          <w:tab w:val="left" w:pos="0"/>
        </w:tabs>
        <w:spacing w:line="600" w:lineRule="exact"/>
        <w:jc w:val="left"/>
        <w:rPr>
          <w:rFonts w:hint="eastAsia" w:ascii="宋体" w:hAnsi="宋体" w:cs="宋体"/>
          <w:sz w:val="28"/>
          <w:szCs w:val="28"/>
          <w:highlight w:val="none"/>
        </w:rPr>
      </w:pPr>
      <w:r>
        <w:rPr>
          <w:rFonts w:hint="eastAsia" w:ascii="宋体" w:hAnsi="宋体" w:cs="宋体"/>
          <w:sz w:val="28"/>
          <w:szCs w:val="28"/>
          <w:highlight w:val="none"/>
        </w:rPr>
        <w:t>供应商名称（盖公章）：</w:t>
      </w:r>
      <w:r>
        <w:rPr>
          <w:rFonts w:hint="eastAsia" w:ascii="宋体" w:hAnsi="宋体" w:cs="宋体"/>
          <w:sz w:val="28"/>
          <w:szCs w:val="28"/>
          <w:highlight w:val="none"/>
          <w:u w:val="single"/>
        </w:rPr>
        <w:t xml:space="preserve">                  </w:t>
      </w:r>
    </w:p>
    <w:p w14:paraId="0DCAC150">
      <w:pPr>
        <w:tabs>
          <w:tab w:val="left" w:pos="0"/>
        </w:tabs>
        <w:spacing w:line="600" w:lineRule="exact"/>
        <w:jc w:val="left"/>
        <w:rPr>
          <w:rFonts w:hint="eastAsia" w:ascii="宋体" w:hAnsi="宋体" w:cs="宋体"/>
          <w:sz w:val="28"/>
          <w:szCs w:val="28"/>
          <w:highlight w:val="none"/>
        </w:rPr>
      </w:pPr>
      <w:r>
        <w:rPr>
          <w:rFonts w:hint="eastAsia" w:ascii="宋体" w:hAnsi="宋体" w:cs="宋体"/>
          <w:sz w:val="28"/>
          <w:szCs w:val="28"/>
          <w:highlight w:val="none"/>
        </w:rPr>
        <w:t>法定代表人或被授权人（签字或盖章）：</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7E1DF573">
      <w:pPr>
        <w:tabs>
          <w:tab w:val="left" w:pos="0"/>
        </w:tabs>
        <w:spacing w:line="600" w:lineRule="exact"/>
        <w:jc w:val="left"/>
        <w:rPr>
          <w:rFonts w:hint="eastAsia" w:ascii="宋体" w:hAnsi="宋体" w:cs="宋体"/>
          <w:sz w:val="28"/>
          <w:szCs w:val="28"/>
          <w:highlight w:val="none"/>
        </w:rPr>
      </w:pPr>
      <w:r>
        <w:rPr>
          <w:rFonts w:hint="eastAsia" w:ascii="宋体" w:hAnsi="宋体" w:cs="宋体"/>
          <w:sz w:val="28"/>
          <w:highlight w:val="none"/>
        </w:rPr>
        <w:t>联系电话：</w:t>
      </w:r>
      <w:r>
        <w:rPr>
          <w:rFonts w:hint="eastAsia" w:ascii="宋体" w:hAnsi="宋体" w:cs="宋体"/>
          <w:sz w:val="28"/>
          <w:highlight w:val="none"/>
          <w:u w:val="single"/>
        </w:rPr>
        <w:t xml:space="preserve">                               </w:t>
      </w:r>
      <w:r>
        <w:rPr>
          <w:rFonts w:hint="eastAsia" w:ascii="宋体" w:hAnsi="宋体" w:cs="宋体"/>
          <w:sz w:val="28"/>
          <w:szCs w:val="28"/>
          <w:highlight w:val="none"/>
        </w:rPr>
        <w:t xml:space="preserve">            </w:t>
      </w:r>
    </w:p>
    <w:p w14:paraId="0CFADD89">
      <w:pPr>
        <w:snapToGrid w:val="0"/>
        <w:spacing w:line="600" w:lineRule="exact"/>
        <w:contextualSpacing/>
        <w:rPr>
          <w:rFonts w:hint="eastAsia" w:ascii="宋体" w:hAnsi="宋体" w:cs="宋体"/>
          <w:b/>
          <w:kern w:val="0"/>
          <w:sz w:val="28"/>
          <w:szCs w:val="28"/>
          <w:highlight w:val="none"/>
        </w:rPr>
      </w:pPr>
      <w:r>
        <w:rPr>
          <w:rFonts w:hint="eastAsia" w:ascii="宋体" w:hAnsi="宋体" w:cs="宋体"/>
          <w:sz w:val="28"/>
          <w:szCs w:val="28"/>
          <w:highlight w:val="none"/>
          <w:lang w:bidi="ar"/>
        </w:rPr>
        <w:t>日期</w:t>
      </w:r>
      <w:r>
        <w:rPr>
          <w:rFonts w:hint="eastAsia" w:ascii="宋体" w:hAnsi="宋体" w:cs="宋体"/>
          <w:bCs/>
          <w:sz w:val="28"/>
          <w:szCs w:val="28"/>
          <w:highlight w:val="none"/>
          <w:lang w:bidi="ar"/>
        </w:rPr>
        <w:t>：______年</w:t>
      </w:r>
      <w:r>
        <w:rPr>
          <w:rFonts w:hint="eastAsia" w:ascii="宋体" w:hAnsi="宋体" w:cs="宋体"/>
          <w:bCs/>
          <w:sz w:val="28"/>
          <w:szCs w:val="28"/>
          <w:highlight w:val="none"/>
          <w:u w:val="single"/>
          <w:lang w:bidi="ar"/>
        </w:rPr>
        <w:t xml:space="preserve">    </w:t>
      </w:r>
      <w:r>
        <w:rPr>
          <w:rFonts w:hint="eastAsia" w:ascii="宋体" w:hAnsi="宋体" w:cs="宋体"/>
          <w:bCs/>
          <w:sz w:val="28"/>
          <w:szCs w:val="28"/>
          <w:highlight w:val="none"/>
          <w:lang w:bidi="ar"/>
        </w:rPr>
        <w:t>月</w:t>
      </w:r>
      <w:r>
        <w:rPr>
          <w:rFonts w:hint="eastAsia" w:ascii="宋体" w:hAnsi="宋体" w:cs="宋体"/>
          <w:bCs/>
          <w:sz w:val="28"/>
          <w:szCs w:val="28"/>
          <w:highlight w:val="none"/>
          <w:u w:val="single"/>
          <w:lang w:bidi="ar"/>
        </w:rPr>
        <w:t xml:space="preserve">    </w:t>
      </w:r>
      <w:r>
        <w:rPr>
          <w:rFonts w:hint="eastAsia" w:ascii="宋体" w:hAnsi="宋体" w:cs="宋体"/>
          <w:bCs/>
          <w:sz w:val="28"/>
          <w:szCs w:val="28"/>
          <w:highlight w:val="none"/>
          <w:lang w:bidi="ar"/>
        </w:rPr>
        <w:t>日</w:t>
      </w:r>
    </w:p>
    <w:p w14:paraId="47ACCDF6">
      <w:pPr>
        <w:snapToGrid w:val="0"/>
        <w:spacing w:line="300" w:lineRule="auto"/>
        <w:outlineLvl w:val="0"/>
        <w:rPr>
          <w:rFonts w:hint="eastAsia" w:ascii="宋体" w:hAnsi="宋体" w:cs="宋体"/>
          <w:sz w:val="32"/>
          <w:szCs w:val="32"/>
          <w:highlight w:val="none"/>
        </w:rPr>
      </w:pPr>
    </w:p>
    <w:p w14:paraId="449552AF">
      <w:pPr>
        <w:snapToGrid w:val="0"/>
        <w:spacing w:line="300" w:lineRule="auto"/>
        <w:outlineLvl w:val="0"/>
        <w:rPr>
          <w:rFonts w:hint="eastAsia" w:ascii="宋体" w:hAnsi="宋体" w:cs="宋体"/>
          <w:sz w:val="32"/>
          <w:szCs w:val="32"/>
          <w:highlight w:val="none"/>
        </w:rPr>
      </w:pPr>
    </w:p>
    <w:p w14:paraId="08A71844">
      <w:pPr>
        <w:snapToGrid w:val="0"/>
        <w:spacing w:line="300" w:lineRule="auto"/>
        <w:outlineLvl w:val="0"/>
        <w:rPr>
          <w:rFonts w:hint="eastAsia" w:ascii="宋体" w:hAnsi="宋体" w:cs="宋体"/>
          <w:sz w:val="32"/>
          <w:szCs w:val="32"/>
          <w:highlight w:val="none"/>
        </w:rPr>
      </w:pPr>
    </w:p>
    <w:p w14:paraId="195ADFA1">
      <w:pPr>
        <w:snapToGrid w:val="0"/>
        <w:spacing w:line="300" w:lineRule="auto"/>
        <w:outlineLvl w:val="0"/>
        <w:rPr>
          <w:rFonts w:hint="eastAsia" w:ascii="宋体" w:hAnsi="宋体" w:cs="宋体"/>
          <w:sz w:val="32"/>
          <w:szCs w:val="32"/>
          <w:highlight w:val="none"/>
        </w:rPr>
      </w:pPr>
    </w:p>
    <w:p w14:paraId="77673BF9">
      <w:pPr>
        <w:pStyle w:val="2"/>
        <w:rPr>
          <w:rFonts w:hint="eastAsia" w:ascii="宋体" w:hAnsi="宋体" w:cs="宋体"/>
          <w:sz w:val="32"/>
          <w:szCs w:val="32"/>
          <w:highlight w:val="none"/>
        </w:rPr>
      </w:pPr>
    </w:p>
    <w:p w14:paraId="79A1E209">
      <w:pPr>
        <w:snapToGrid w:val="0"/>
        <w:spacing w:line="300" w:lineRule="auto"/>
        <w:outlineLvl w:val="0"/>
        <w:rPr>
          <w:rFonts w:ascii="宋体" w:hAnsi="宋体" w:cs="宋体"/>
          <w:sz w:val="32"/>
          <w:szCs w:val="32"/>
          <w:highlight w:val="none"/>
        </w:rPr>
      </w:pPr>
      <w:r>
        <w:rPr>
          <w:rFonts w:hint="eastAsia" w:ascii="宋体" w:hAnsi="宋体" w:cs="宋体"/>
          <w:sz w:val="32"/>
          <w:szCs w:val="32"/>
          <w:highlight w:val="none"/>
        </w:rPr>
        <w:t>附件6</w:t>
      </w:r>
    </w:p>
    <w:p w14:paraId="3DA74016">
      <w:pPr>
        <w:widowControl/>
        <w:spacing w:line="420" w:lineRule="atLeast"/>
        <w:jc w:val="center"/>
        <w:rPr>
          <w:rFonts w:hint="eastAsia" w:ascii="宋体" w:hAnsi="宋体" w:cs="宋体"/>
          <w:kern w:val="0"/>
          <w:sz w:val="32"/>
          <w:szCs w:val="32"/>
          <w:highlight w:val="none"/>
        </w:rPr>
      </w:pPr>
      <w:r>
        <w:rPr>
          <w:rFonts w:hint="eastAsia" w:ascii="宋体" w:hAnsi="宋体" w:cs="宋体"/>
          <w:b/>
          <w:bCs/>
          <w:kern w:val="0"/>
          <w:sz w:val="32"/>
          <w:szCs w:val="32"/>
          <w:highlight w:val="none"/>
        </w:rPr>
        <w:t>谈判响应报价表（最终报价）</w:t>
      </w:r>
    </w:p>
    <w:p w14:paraId="45D253E6">
      <w:pPr>
        <w:adjustRightInd w:val="0"/>
        <w:snapToGrid w:val="0"/>
        <w:spacing w:line="480" w:lineRule="atLeast"/>
        <w:jc w:val="center"/>
        <w:rPr>
          <w:rFonts w:hint="eastAsia" w:ascii="宋体" w:hAnsi="宋体" w:cs="宋体"/>
          <w:sz w:val="28"/>
          <w:szCs w:val="28"/>
          <w:highlight w:val="none"/>
          <w:lang w:val="en-US" w:eastAsia="zh-CN"/>
        </w:rPr>
      </w:pPr>
    </w:p>
    <w:p w14:paraId="1A9ED07D">
      <w:pPr>
        <w:adjustRightInd w:val="0"/>
        <w:snapToGrid w:val="0"/>
        <w:spacing w:line="480" w:lineRule="atLeast"/>
        <w:jc w:val="both"/>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项目名称：</w:t>
      </w:r>
      <w:r>
        <w:rPr>
          <w:rFonts w:hint="eastAsia" w:ascii="宋体" w:hAnsi="宋体" w:cs="宋体"/>
          <w:sz w:val="28"/>
          <w:szCs w:val="28"/>
          <w:highlight w:val="none"/>
          <w:lang w:eastAsia="zh-CN"/>
        </w:rPr>
        <w:t>启东市自来水厂有限公司2026年度设备运输、材料搬运使用随车吊、吊车服务年度采购项目</w:t>
      </w:r>
    </w:p>
    <w:tbl>
      <w:tblPr>
        <w:tblStyle w:val="23"/>
        <w:tblW w:w="10507" w:type="dxa"/>
        <w:tblInd w:w="-472" w:type="dxa"/>
        <w:tblLayout w:type="autofit"/>
        <w:tblCellMar>
          <w:top w:w="0" w:type="dxa"/>
          <w:left w:w="108" w:type="dxa"/>
          <w:bottom w:w="0" w:type="dxa"/>
          <w:right w:w="108" w:type="dxa"/>
        </w:tblCellMar>
      </w:tblPr>
      <w:tblGrid>
        <w:gridCol w:w="745"/>
        <w:gridCol w:w="1000"/>
        <w:gridCol w:w="2153"/>
        <w:gridCol w:w="745"/>
        <w:gridCol w:w="3062"/>
        <w:gridCol w:w="1768"/>
        <w:gridCol w:w="1034"/>
      </w:tblGrid>
      <w:tr w14:paraId="3DDD4257">
        <w:tblPrEx>
          <w:tblCellMar>
            <w:top w:w="0" w:type="dxa"/>
            <w:left w:w="108" w:type="dxa"/>
            <w:bottom w:w="0" w:type="dxa"/>
            <w:right w:w="108" w:type="dxa"/>
          </w:tblCellMar>
        </w:tblPrEx>
        <w:trPr>
          <w:trHeight w:val="459"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D2EF30">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8E8ED87">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车型</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A2664C2">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型号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53A8F18">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58D3F5B">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i w:val="0"/>
                <w:iCs w:val="0"/>
                <w:color w:val="000000"/>
                <w:kern w:val="0"/>
                <w:sz w:val="24"/>
                <w:szCs w:val="24"/>
                <w:u w:val="none"/>
                <w:lang w:val="en-US" w:eastAsia="zh-CN" w:bidi="ar"/>
              </w:rPr>
              <w:t>分项</w:t>
            </w:r>
            <w:r>
              <w:rPr>
                <w:rFonts w:hint="eastAsia" w:ascii="仿宋" w:hAnsi="仿宋" w:eastAsia="仿宋" w:cs="仿宋"/>
                <w:b/>
                <w:bCs/>
                <w:color w:val="000000"/>
                <w:kern w:val="0"/>
                <w:sz w:val="24"/>
                <w:highlight w:val="none"/>
                <w:lang w:val="en-US" w:eastAsia="zh-CN"/>
              </w:rPr>
              <w:t>综合单价报价</w:t>
            </w:r>
            <w:r>
              <w:rPr>
                <w:rFonts w:hint="eastAsia" w:ascii="仿宋" w:hAnsi="仿宋" w:eastAsia="仿宋" w:cs="仿宋"/>
                <w:b/>
                <w:bCs/>
                <w:color w:val="000000"/>
                <w:kern w:val="0"/>
                <w:sz w:val="24"/>
                <w:highlight w:val="none"/>
              </w:rPr>
              <w:t>（元）</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97BBBE2">
            <w:pPr>
              <w:widowControl/>
              <w:spacing w:line="360" w:lineRule="exact"/>
              <w:jc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备注</w:t>
            </w:r>
          </w:p>
        </w:tc>
        <w:tc>
          <w:tcPr>
            <w:tcW w:w="968" w:type="dxa"/>
            <w:tcBorders>
              <w:top w:val="single" w:color="auto" w:sz="4" w:space="0"/>
              <w:left w:val="nil"/>
              <w:bottom w:val="single" w:color="auto" w:sz="4" w:space="0"/>
              <w:right w:val="single" w:color="auto" w:sz="4" w:space="0"/>
            </w:tcBorders>
            <w:shd w:val="clear" w:color="auto" w:fill="auto"/>
            <w:noWrap/>
            <w:vAlign w:val="center"/>
          </w:tcPr>
          <w:p w14:paraId="6BE54745">
            <w:pPr>
              <w:widowControl/>
              <w:spacing w:line="360" w:lineRule="exact"/>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lang w:val="en-US" w:eastAsia="zh-CN"/>
              </w:rPr>
              <w:t>下浮率（%）</w:t>
            </w:r>
          </w:p>
        </w:tc>
      </w:tr>
      <w:tr w14:paraId="2327CC0C">
        <w:tblPrEx>
          <w:tblCellMar>
            <w:top w:w="0" w:type="dxa"/>
            <w:left w:w="108" w:type="dxa"/>
            <w:bottom w:w="0" w:type="dxa"/>
            <w:right w:w="108" w:type="dxa"/>
          </w:tblCellMar>
        </w:tblPrEx>
        <w:trPr>
          <w:trHeight w:val="283" w:hRule="atLeast"/>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2CFF3B9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5FC00F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随车吊</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14:paraId="06B236F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9米</w:t>
            </w:r>
          </w:p>
        </w:tc>
        <w:tc>
          <w:tcPr>
            <w:tcW w:w="0" w:type="auto"/>
            <w:tcBorders>
              <w:top w:val="nil"/>
              <w:left w:val="nil"/>
              <w:bottom w:val="single" w:color="auto" w:sz="4" w:space="0"/>
              <w:right w:val="single" w:color="auto" w:sz="4" w:space="0"/>
            </w:tcBorders>
            <w:shd w:val="clear" w:color="auto" w:fill="auto"/>
            <w:noWrap/>
            <w:vAlign w:val="center"/>
          </w:tcPr>
          <w:p w14:paraId="66FAABB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75DDCB34">
            <w:pPr>
              <w:keepNext w:val="0"/>
              <w:keepLines w:val="0"/>
              <w:widowControl/>
              <w:suppressLineNumbers w:val="0"/>
              <w:jc w:val="center"/>
              <w:textAlignment w:val="center"/>
              <w:rPr>
                <w:rFonts w:hint="eastAsia" w:ascii="仿宋" w:hAnsi="仿宋" w:eastAsia="仿宋" w:cs="仿宋"/>
                <w:color w:val="000000"/>
                <w:kern w:val="0"/>
                <w:sz w:val="24"/>
                <w:highlight w:val="none"/>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7200D9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城区内</w:t>
            </w:r>
          </w:p>
        </w:tc>
        <w:tc>
          <w:tcPr>
            <w:tcW w:w="968" w:type="dxa"/>
            <w:vMerge w:val="restart"/>
            <w:tcBorders>
              <w:top w:val="nil"/>
              <w:left w:val="nil"/>
              <w:right w:val="single" w:color="auto" w:sz="4" w:space="0"/>
            </w:tcBorders>
            <w:shd w:val="clear" w:color="auto" w:fill="auto"/>
            <w:noWrap/>
            <w:vAlign w:val="center"/>
          </w:tcPr>
          <w:p w14:paraId="70856A1D">
            <w:pPr>
              <w:widowControl/>
              <w:jc w:val="center"/>
              <w:rPr>
                <w:rFonts w:hint="eastAsia" w:ascii="仿宋" w:hAnsi="仿宋" w:eastAsia="仿宋" w:cs="仿宋"/>
                <w:color w:val="000000"/>
                <w:kern w:val="0"/>
                <w:sz w:val="24"/>
                <w:highlight w:val="none"/>
              </w:rPr>
            </w:pPr>
          </w:p>
        </w:tc>
      </w:tr>
      <w:tr w14:paraId="7862FFB9">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000000" w:sz="4" w:space="0"/>
              <w:right w:val="single" w:color="auto" w:sz="4" w:space="0"/>
            </w:tcBorders>
            <w:vAlign w:val="center"/>
          </w:tcPr>
          <w:p w14:paraId="12E61EF3">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7D416749">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77ACC20D">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4884BB3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46A47FB1">
            <w:pPr>
              <w:keepNext w:val="0"/>
              <w:keepLines w:val="0"/>
              <w:widowControl/>
              <w:suppressLineNumbers w:val="0"/>
              <w:jc w:val="center"/>
              <w:textAlignment w:val="center"/>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743DDFF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788F73D1">
            <w:pPr>
              <w:widowControl/>
              <w:jc w:val="center"/>
              <w:rPr>
                <w:rFonts w:hint="eastAsia" w:ascii="仿宋" w:hAnsi="仿宋" w:eastAsia="仿宋" w:cs="仿宋"/>
                <w:color w:val="000000"/>
                <w:kern w:val="0"/>
                <w:sz w:val="24"/>
                <w:highlight w:val="none"/>
              </w:rPr>
            </w:pPr>
          </w:p>
        </w:tc>
      </w:tr>
      <w:tr w14:paraId="246721FA">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000000" w:sz="4" w:space="0"/>
              <w:right w:val="single" w:color="auto" w:sz="4" w:space="0"/>
            </w:tcBorders>
            <w:vAlign w:val="center"/>
          </w:tcPr>
          <w:p w14:paraId="56F88326">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6CD45BD2">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3341B511">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5CFD32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39556B5A">
            <w:pPr>
              <w:keepNext w:val="0"/>
              <w:keepLines w:val="0"/>
              <w:widowControl/>
              <w:suppressLineNumbers w:val="0"/>
              <w:jc w:val="center"/>
              <w:textAlignment w:val="center"/>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04649DF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每天按8小时</w:t>
            </w:r>
          </w:p>
        </w:tc>
        <w:tc>
          <w:tcPr>
            <w:tcW w:w="968" w:type="dxa"/>
            <w:vMerge w:val="continue"/>
            <w:tcBorders>
              <w:left w:val="nil"/>
              <w:right w:val="single" w:color="auto" w:sz="4" w:space="0"/>
            </w:tcBorders>
            <w:shd w:val="clear" w:color="auto" w:fill="auto"/>
            <w:noWrap/>
            <w:vAlign w:val="center"/>
          </w:tcPr>
          <w:p w14:paraId="19562504">
            <w:pPr>
              <w:widowControl/>
              <w:jc w:val="center"/>
              <w:rPr>
                <w:rFonts w:hint="eastAsia" w:ascii="仿宋" w:hAnsi="仿宋" w:eastAsia="仿宋" w:cs="仿宋"/>
                <w:color w:val="000000"/>
                <w:kern w:val="0"/>
                <w:sz w:val="24"/>
                <w:highlight w:val="none"/>
              </w:rPr>
            </w:pPr>
          </w:p>
        </w:tc>
      </w:tr>
      <w:tr w14:paraId="04E5B637">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000000" w:sz="4" w:space="0"/>
              <w:right w:val="single" w:color="auto" w:sz="4" w:space="0"/>
            </w:tcBorders>
            <w:vAlign w:val="center"/>
          </w:tcPr>
          <w:p w14:paraId="0E9484E3">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50C5A57D">
            <w:pPr>
              <w:widowControl/>
              <w:jc w:val="left"/>
              <w:rPr>
                <w:rFonts w:hint="eastAsia" w:ascii="仿宋" w:hAnsi="仿宋" w:eastAsia="仿宋" w:cs="仿宋"/>
                <w:color w:val="000000"/>
                <w:kern w:val="0"/>
                <w:sz w:val="24"/>
                <w:highlight w:val="none"/>
              </w:rPr>
            </w:pPr>
          </w:p>
        </w:tc>
        <w:tc>
          <w:tcPr>
            <w:tcW w:w="0" w:type="auto"/>
            <w:vMerge w:val="restart"/>
            <w:tcBorders>
              <w:top w:val="nil"/>
              <w:left w:val="single" w:color="auto" w:sz="4" w:space="0"/>
              <w:right w:val="single" w:color="auto" w:sz="4" w:space="0"/>
            </w:tcBorders>
            <w:vAlign w:val="center"/>
          </w:tcPr>
          <w:p w14:paraId="10C8A957">
            <w:pPr>
              <w:widowControl/>
              <w:jc w:val="center"/>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12米</w:t>
            </w:r>
          </w:p>
        </w:tc>
        <w:tc>
          <w:tcPr>
            <w:tcW w:w="0" w:type="auto"/>
            <w:tcBorders>
              <w:top w:val="nil"/>
              <w:left w:val="nil"/>
              <w:bottom w:val="single" w:color="auto" w:sz="4" w:space="0"/>
              <w:right w:val="single" w:color="auto" w:sz="4" w:space="0"/>
            </w:tcBorders>
            <w:shd w:val="clear" w:color="auto" w:fill="auto"/>
            <w:noWrap/>
            <w:vAlign w:val="center"/>
          </w:tcPr>
          <w:p w14:paraId="4D1FB453">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137DC149">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0712123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c>
          <w:tcPr>
            <w:tcW w:w="968" w:type="dxa"/>
            <w:vMerge w:val="continue"/>
            <w:tcBorders>
              <w:left w:val="nil"/>
              <w:right w:val="single" w:color="auto" w:sz="4" w:space="0"/>
            </w:tcBorders>
            <w:shd w:val="clear" w:color="auto" w:fill="auto"/>
            <w:noWrap/>
            <w:vAlign w:val="center"/>
          </w:tcPr>
          <w:p w14:paraId="652FF5D6">
            <w:pPr>
              <w:widowControl/>
              <w:jc w:val="center"/>
              <w:rPr>
                <w:rFonts w:hint="eastAsia" w:ascii="仿宋" w:hAnsi="仿宋" w:eastAsia="仿宋" w:cs="仿宋"/>
                <w:kern w:val="0"/>
                <w:sz w:val="24"/>
                <w:highlight w:val="none"/>
              </w:rPr>
            </w:pPr>
          </w:p>
        </w:tc>
      </w:tr>
      <w:tr w14:paraId="1786D961">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000000" w:sz="4" w:space="0"/>
              <w:right w:val="single" w:color="auto" w:sz="4" w:space="0"/>
            </w:tcBorders>
            <w:vAlign w:val="center"/>
          </w:tcPr>
          <w:p w14:paraId="680F3FAF">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523AF4C5">
            <w:pPr>
              <w:widowControl/>
              <w:jc w:val="left"/>
              <w:rPr>
                <w:rFonts w:hint="eastAsia" w:ascii="仿宋" w:hAnsi="仿宋" w:eastAsia="仿宋" w:cs="仿宋"/>
                <w:color w:val="000000"/>
                <w:kern w:val="0"/>
                <w:sz w:val="24"/>
                <w:highlight w:val="none"/>
              </w:rPr>
            </w:pPr>
          </w:p>
        </w:tc>
        <w:tc>
          <w:tcPr>
            <w:tcW w:w="0" w:type="auto"/>
            <w:vMerge w:val="continue"/>
            <w:tcBorders>
              <w:left w:val="single" w:color="auto" w:sz="4" w:space="0"/>
              <w:right w:val="single" w:color="auto" w:sz="4" w:space="0"/>
            </w:tcBorders>
            <w:vAlign w:val="center"/>
          </w:tcPr>
          <w:p w14:paraId="451EA24E">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60279BD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6B746B22">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7936ADEC">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5101375E">
            <w:pPr>
              <w:widowControl/>
              <w:jc w:val="center"/>
              <w:rPr>
                <w:rFonts w:hint="eastAsia" w:ascii="仿宋" w:hAnsi="仿宋" w:eastAsia="仿宋" w:cs="仿宋"/>
                <w:kern w:val="0"/>
                <w:sz w:val="24"/>
                <w:highlight w:val="none"/>
              </w:rPr>
            </w:pPr>
          </w:p>
        </w:tc>
      </w:tr>
      <w:tr w14:paraId="76A94116">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6F67912E">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B2CED4C">
            <w:pPr>
              <w:widowControl/>
              <w:jc w:val="left"/>
              <w:rPr>
                <w:rFonts w:hint="eastAsia" w:ascii="仿宋" w:hAnsi="仿宋" w:eastAsia="仿宋" w:cs="仿宋"/>
                <w:color w:val="000000"/>
                <w:kern w:val="0"/>
                <w:sz w:val="24"/>
                <w:highlight w:val="none"/>
              </w:rPr>
            </w:pPr>
          </w:p>
        </w:tc>
        <w:tc>
          <w:tcPr>
            <w:tcW w:w="0" w:type="auto"/>
            <w:vMerge w:val="continue"/>
            <w:tcBorders>
              <w:left w:val="single" w:color="auto" w:sz="4" w:space="0"/>
              <w:bottom w:val="single" w:color="auto" w:sz="4" w:space="0"/>
              <w:right w:val="single" w:color="auto" w:sz="4" w:space="0"/>
            </w:tcBorders>
            <w:vAlign w:val="center"/>
          </w:tcPr>
          <w:p w14:paraId="4B4665D0">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1913FEB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42D61AFC">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5DD3995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c>
          <w:tcPr>
            <w:tcW w:w="968" w:type="dxa"/>
            <w:vMerge w:val="continue"/>
            <w:tcBorders>
              <w:left w:val="nil"/>
              <w:right w:val="single" w:color="auto" w:sz="4" w:space="0"/>
            </w:tcBorders>
            <w:shd w:val="clear" w:color="auto" w:fill="auto"/>
            <w:noWrap/>
            <w:vAlign w:val="center"/>
          </w:tcPr>
          <w:p w14:paraId="067AAF9C">
            <w:pPr>
              <w:widowControl/>
              <w:jc w:val="center"/>
              <w:rPr>
                <w:rFonts w:hint="eastAsia" w:ascii="仿宋" w:hAnsi="仿宋" w:eastAsia="仿宋" w:cs="仿宋"/>
                <w:kern w:val="0"/>
                <w:sz w:val="24"/>
                <w:highlight w:val="none"/>
              </w:rPr>
            </w:pPr>
          </w:p>
        </w:tc>
      </w:tr>
      <w:tr w14:paraId="0929D3BB">
        <w:tblPrEx>
          <w:tblCellMar>
            <w:top w:w="0" w:type="dxa"/>
            <w:left w:w="108" w:type="dxa"/>
            <w:bottom w:w="0" w:type="dxa"/>
            <w:right w:w="108" w:type="dxa"/>
          </w:tblCellMar>
        </w:tblPrEx>
        <w:trPr>
          <w:trHeight w:val="283"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2F09A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67812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吊车</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389BE58">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＞8吨，≤15吨</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47A61F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2D23BE5">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A49F2E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c>
          <w:tcPr>
            <w:tcW w:w="968" w:type="dxa"/>
            <w:vMerge w:val="continue"/>
            <w:tcBorders>
              <w:left w:val="nil"/>
              <w:right w:val="single" w:color="auto" w:sz="4" w:space="0"/>
            </w:tcBorders>
            <w:shd w:val="clear" w:color="auto" w:fill="auto"/>
            <w:noWrap/>
            <w:vAlign w:val="center"/>
          </w:tcPr>
          <w:p w14:paraId="5CE48EB9">
            <w:pPr>
              <w:widowControl/>
              <w:jc w:val="center"/>
              <w:rPr>
                <w:rFonts w:hint="eastAsia" w:ascii="仿宋" w:hAnsi="仿宋" w:eastAsia="仿宋" w:cs="仿宋"/>
                <w:kern w:val="0"/>
                <w:sz w:val="24"/>
                <w:highlight w:val="none"/>
              </w:rPr>
            </w:pPr>
          </w:p>
        </w:tc>
      </w:tr>
      <w:tr w14:paraId="37A5B43B">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228DDA77">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22D5E00">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1CBC52C2">
            <w:pPr>
              <w:widowControl/>
              <w:jc w:val="left"/>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702E95F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459A16F1">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0017BE3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265B5FAD">
            <w:pPr>
              <w:widowControl/>
              <w:jc w:val="center"/>
              <w:rPr>
                <w:rFonts w:hint="eastAsia" w:ascii="仿宋" w:hAnsi="仿宋" w:eastAsia="仿宋" w:cs="仿宋"/>
                <w:kern w:val="0"/>
                <w:sz w:val="24"/>
                <w:highlight w:val="none"/>
              </w:rPr>
            </w:pPr>
          </w:p>
        </w:tc>
      </w:tr>
      <w:tr w14:paraId="1585A890">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577362BD">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0B152904">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14:paraId="55F5BB98">
            <w:pPr>
              <w:widowControl/>
              <w:jc w:val="left"/>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2A6477C2">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5EB11EF2">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1101F13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c>
          <w:tcPr>
            <w:tcW w:w="968" w:type="dxa"/>
            <w:vMerge w:val="continue"/>
            <w:tcBorders>
              <w:left w:val="nil"/>
              <w:right w:val="single" w:color="auto" w:sz="4" w:space="0"/>
            </w:tcBorders>
            <w:shd w:val="clear" w:color="auto" w:fill="auto"/>
            <w:noWrap/>
            <w:vAlign w:val="center"/>
          </w:tcPr>
          <w:p w14:paraId="2EFFFC6E">
            <w:pPr>
              <w:widowControl/>
              <w:jc w:val="center"/>
              <w:rPr>
                <w:rFonts w:hint="eastAsia" w:ascii="仿宋" w:hAnsi="仿宋" w:eastAsia="仿宋" w:cs="仿宋"/>
                <w:kern w:val="0"/>
                <w:sz w:val="24"/>
                <w:highlight w:val="none"/>
              </w:rPr>
            </w:pPr>
          </w:p>
        </w:tc>
      </w:tr>
      <w:tr w14:paraId="0ED9A146">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219F7DF9">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6536B2DD">
            <w:pPr>
              <w:widowControl/>
              <w:jc w:val="left"/>
              <w:rPr>
                <w:rFonts w:hint="eastAsia" w:ascii="仿宋" w:hAnsi="仿宋" w:eastAsia="仿宋" w:cs="仿宋"/>
                <w:color w:val="000000"/>
                <w:kern w:val="0"/>
                <w:sz w:val="24"/>
                <w:highlight w:val="none"/>
              </w:rPr>
            </w:pPr>
          </w:p>
        </w:tc>
        <w:tc>
          <w:tcPr>
            <w:tcW w:w="0" w:type="auto"/>
            <w:vMerge w:val="restart"/>
            <w:tcBorders>
              <w:top w:val="nil"/>
              <w:left w:val="single" w:color="auto" w:sz="4" w:space="0"/>
              <w:right w:val="single" w:color="auto" w:sz="4" w:space="0"/>
            </w:tcBorders>
            <w:vAlign w:val="center"/>
          </w:tcPr>
          <w:p w14:paraId="3D771E52">
            <w:pPr>
              <w:widowControl/>
              <w:jc w:val="center"/>
              <w:rPr>
                <w:rFonts w:hint="default" w:ascii="仿宋" w:hAnsi="仿宋" w:eastAsia="仿宋" w:cs="仿宋"/>
                <w:kern w:val="0"/>
                <w:sz w:val="24"/>
                <w:highlight w:val="none"/>
                <w:lang w:val="en-US" w:eastAsia="zh-CN"/>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＞15吨，≤25吨</w:t>
            </w:r>
          </w:p>
        </w:tc>
        <w:tc>
          <w:tcPr>
            <w:tcW w:w="0" w:type="auto"/>
            <w:tcBorders>
              <w:top w:val="nil"/>
              <w:left w:val="nil"/>
              <w:bottom w:val="single" w:color="auto" w:sz="4" w:space="0"/>
              <w:right w:val="single" w:color="auto" w:sz="4" w:space="0"/>
            </w:tcBorders>
            <w:shd w:val="clear" w:color="auto" w:fill="auto"/>
            <w:noWrap/>
            <w:vAlign w:val="center"/>
          </w:tcPr>
          <w:p w14:paraId="435BE0F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441F4058">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16D288D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城区内</w:t>
            </w:r>
          </w:p>
        </w:tc>
        <w:tc>
          <w:tcPr>
            <w:tcW w:w="968" w:type="dxa"/>
            <w:vMerge w:val="continue"/>
            <w:tcBorders>
              <w:left w:val="nil"/>
              <w:right w:val="single" w:color="auto" w:sz="4" w:space="0"/>
            </w:tcBorders>
            <w:shd w:val="clear" w:color="auto" w:fill="auto"/>
            <w:noWrap/>
            <w:vAlign w:val="center"/>
          </w:tcPr>
          <w:p w14:paraId="28F78373">
            <w:pPr>
              <w:widowControl/>
              <w:jc w:val="center"/>
              <w:rPr>
                <w:rFonts w:hint="eastAsia" w:ascii="仿宋" w:hAnsi="仿宋" w:eastAsia="仿宋" w:cs="仿宋"/>
                <w:kern w:val="0"/>
                <w:sz w:val="24"/>
                <w:highlight w:val="none"/>
              </w:rPr>
            </w:pPr>
          </w:p>
        </w:tc>
      </w:tr>
      <w:tr w14:paraId="6C95106F">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49AAA284">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3C823483">
            <w:pPr>
              <w:widowControl/>
              <w:jc w:val="left"/>
              <w:rPr>
                <w:rFonts w:hint="eastAsia" w:ascii="仿宋" w:hAnsi="仿宋" w:eastAsia="仿宋" w:cs="仿宋"/>
                <w:color w:val="000000"/>
                <w:kern w:val="0"/>
                <w:sz w:val="24"/>
                <w:highlight w:val="none"/>
              </w:rPr>
            </w:pPr>
          </w:p>
        </w:tc>
        <w:tc>
          <w:tcPr>
            <w:tcW w:w="0" w:type="auto"/>
            <w:vMerge w:val="continue"/>
            <w:tcBorders>
              <w:left w:val="single" w:color="auto" w:sz="4" w:space="0"/>
              <w:right w:val="single" w:color="auto" w:sz="4" w:space="0"/>
            </w:tcBorders>
            <w:vAlign w:val="center"/>
          </w:tcPr>
          <w:p w14:paraId="44F55C7B">
            <w:pPr>
              <w:widowControl/>
              <w:jc w:val="left"/>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3F0A679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2DDDAC9F">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2C418DA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1CDD6B87">
            <w:pPr>
              <w:widowControl/>
              <w:jc w:val="center"/>
              <w:rPr>
                <w:rFonts w:hint="eastAsia" w:ascii="仿宋" w:hAnsi="仿宋" w:eastAsia="仿宋" w:cs="仿宋"/>
                <w:kern w:val="0"/>
                <w:sz w:val="24"/>
                <w:highlight w:val="none"/>
              </w:rPr>
            </w:pPr>
          </w:p>
        </w:tc>
      </w:tr>
      <w:tr w14:paraId="67753E81">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4F22AD2D">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CCB8C00">
            <w:pPr>
              <w:widowControl/>
              <w:jc w:val="left"/>
              <w:rPr>
                <w:rFonts w:hint="eastAsia" w:ascii="仿宋" w:hAnsi="仿宋" w:eastAsia="仿宋" w:cs="仿宋"/>
                <w:color w:val="000000"/>
                <w:kern w:val="0"/>
                <w:sz w:val="24"/>
                <w:highlight w:val="none"/>
              </w:rPr>
            </w:pPr>
          </w:p>
        </w:tc>
        <w:tc>
          <w:tcPr>
            <w:tcW w:w="0" w:type="auto"/>
            <w:vMerge w:val="continue"/>
            <w:tcBorders>
              <w:left w:val="single" w:color="auto" w:sz="4" w:space="0"/>
              <w:bottom w:val="single" w:color="000000" w:sz="4" w:space="0"/>
              <w:right w:val="single" w:color="auto" w:sz="4" w:space="0"/>
            </w:tcBorders>
            <w:vAlign w:val="center"/>
          </w:tcPr>
          <w:p w14:paraId="631E20B2">
            <w:pPr>
              <w:widowControl/>
              <w:jc w:val="left"/>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357DAA6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2C52C76A">
            <w:pPr>
              <w:keepNext w:val="0"/>
              <w:keepLines w:val="0"/>
              <w:widowControl/>
              <w:suppressLineNumbers w:val="0"/>
              <w:jc w:val="center"/>
              <w:textAlignment w:val="center"/>
              <w:rPr>
                <w:rFonts w:hint="eastAsia" w:ascii="仿宋" w:hAnsi="仿宋" w:eastAsia="仿宋" w:cs="仿宋"/>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70E0B35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每天按8小时</w:t>
            </w:r>
          </w:p>
        </w:tc>
        <w:tc>
          <w:tcPr>
            <w:tcW w:w="968" w:type="dxa"/>
            <w:vMerge w:val="continue"/>
            <w:tcBorders>
              <w:left w:val="nil"/>
              <w:right w:val="single" w:color="auto" w:sz="4" w:space="0"/>
            </w:tcBorders>
            <w:shd w:val="clear" w:color="auto" w:fill="auto"/>
            <w:noWrap/>
            <w:vAlign w:val="center"/>
          </w:tcPr>
          <w:p w14:paraId="28A54C46">
            <w:pPr>
              <w:widowControl/>
              <w:jc w:val="center"/>
              <w:rPr>
                <w:rFonts w:hint="eastAsia" w:ascii="仿宋" w:hAnsi="仿宋" w:eastAsia="仿宋" w:cs="仿宋"/>
                <w:kern w:val="0"/>
                <w:sz w:val="24"/>
                <w:highlight w:val="none"/>
              </w:rPr>
            </w:pPr>
          </w:p>
        </w:tc>
      </w:tr>
      <w:tr w14:paraId="1F7FEBA2">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22BE6654">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46D2E3DF">
            <w:pPr>
              <w:widowControl/>
              <w:jc w:val="left"/>
              <w:rPr>
                <w:rFonts w:hint="eastAsia" w:ascii="仿宋" w:hAnsi="仿宋" w:eastAsia="仿宋" w:cs="仿宋"/>
                <w:color w:val="000000"/>
                <w:kern w:val="0"/>
                <w:sz w:val="24"/>
                <w:highlight w:val="none"/>
              </w:rPr>
            </w:pPr>
          </w:p>
        </w:tc>
        <w:tc>
          <w:tcPr>
            <w:tcW w:w="0" w:type="auto"/>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8C4A47E">
            <w:pPr>
              <w:widowControl/>
              <w:jc w:val="center"/>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＞25吨，≤30吨</w:t>
            </w:r>
          </w:p>
        </w:tc>
        <w:tc>
          <w:tcPr>
            <w:tcW w:w="0" w:type="auto"/>
            <w:tcBorders>
              <w:top w:val="nil"/>
              <w:left w:val="nil"/>
              <w:bottom w:val="single" w:color="auto" w:sz="4" w:space="0"/>
              <w:right w:val="single" w:color="auto" w:sz="4" w:space="0"/>
            </w:tcBorders>
            <w:shd w:val="clear" w:color="auto" w:fill="auto"/>
            <w:noWrap/>
            <w:vAlign w:val="center"/>
          </w:tcPr>
          <w:p w14:paraId="49C316CA">
            <w:pPr>
              <w:widowControl/>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次</w:t>
            </w:r>
          </w:p>
        </w:tc>
        <w:tc>
          <w:tcPr>
            <w:tcW w:w="0" w:type="auto"/>
            <w:tcBorders>
              <w:top w:val="nil"/>
              <w:left w:val="nil"/>
              <w:bottom w:val="single" w:color="auto" w:sz="4" w:space="0"/>
              <w:right w:val="single" w:color="auto" w:sz="4" w:space="0"/>
            </w:tcBorders>
            <w:shd w:val="clear" w:color="auto" w:fill="auto"/>
            <w:noWrap/>
            <w:vAlign w:val="center"/>
          </w:tcPr>
          <w:p w14:paraId="363CF4C6">
            <w:pPr>
              <w:keepNext w:val="0"/>
              <w:keepLines w:val="0"/>
              <w:widowControl/>
              <w:suppressLineNumbers w:val="0"/>
              <w:jc w:val="center"/>
              <w:textAlignment w:val="center"/>
              <w:rPr>
                <w:rFonts w:hint="eastAsia" w:ascii="仿宋" w:hAnsi="仿宋" w:eastAsia="仿宋" w:cs="仿宋"/>
                <w:color w:val="000000" w:themeColor="text1"/>
                <w:kern w:val="0"/>
                <w:sz w:val="24"/>
                <w:highlight w:val="none"/>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120BB956">
            <w:pPr>
              <w:widowControl/>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城区内</w:t>
            </w:r>
          </w:p>
        </w:tc>
        <w:tc>
          <w:tcPr>
            <w:tcW w:w="968" w:type="dxa"/>
            <w:vMerge w:val="continue"/>
            <w:tcBorders>
              <w:left w:val="nil"/>
              <w:right w:val="single" w:color="auto" w:sz="4" w:space="0"/>
            </w:tcBorders>
            <w:shd w:val="clear" w:color="auto" w:fill="auto"/>
            <w:noWrap/>
            <w:vAlign w:val="center"/>
          </w:tcPr>
          <w:p w14:paraId="3052BC1B">
            <w:pPr>
              <w:widowControl/>
              <w:jc w:val="center"/>
              <w:rPr>
                <w:rFonts w:hint="eastAsia" w:ascii="仿宋" w:hAnsi="仿宋" w:eastAsia="仿宋" w:cs="仿宋"/>
                <w:color w:val="000000" w:themeColor="text1"/>
                <w:kern w:val="0"/>
                <w:sz w:val="24"/>
                <w:highlight w:val="none"/>
                <w14:textFill>
                  <w14:solidFill>
                    <w14:schemeClr w14:val="tx1"/>
                  </w14:solidFill>
                </w14:textFill>
              </w:rPr>
            </w:pPr>
          </w:p>
        </w:tc>
      </w:tr>
      <w:tr w14:paraId="0D5FF86D">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5D39E082">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027D2EF0">
            <w:pPr>
              <w:widowControl/>
              <w:jc w:val="left"/>
              <w:rPr>
                <w:rFonts w:hint="eastAsia" w:ascii="仿宋" w:hAnsi="仿宋" w:eastAsia="仿宋" w:cs="仿宋"/>
                <w:color w:val="000000"/>
                <w:kern w:val="0"/>
                <w:sz w:val="24"/>
                <w:highlight w:val="none"/>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1781FBCC">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575C048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次</w:t>
            </w:r>
          </w:p>
        </w:tc>
        <w:tc>
          <w:tcPr>
            <w:tcW w:w="0" w:type="auto"/>
            <w:tcBorders>
              <w:top w:val="nil"/>
              <w:left w:val="nil"/>
              <w:bottom w:val="single" w:color="auto" w:sz="4" w:space="0"/>
              <w:right w:val="single" w:color="auto" w:sz="4" w:space="0"/>
            </w:tcBorders>
            <w:shd w:val="clear" w:color="auto" w:fill="auto"/>
            <w:noWrap/>
            <w:vAlign w:val="center"/>
          </w:tcPr>
          <w:p w14:paraId="1A2E6164">
            <w:pPr>
              <w:keepNext w:val="0"/>
              <w:keepLines w:val="0"/>
              <w:widowControl/>
              <w:suppressLineNumbers w:val="0"/>
              <w:jc w:val="center"/>
              <w:textAlignment w:val="center"/>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240B45F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城区外</w:t>
            </w:r>
          </w:p>
        </w:tc>
        <w:tc>
          <w:tcPr>
            <w:tcW w:w="968" w:type="dxa"/>
            <w:vMerge w:val="continue"/>
            <w:tcBorders>
              <w:left w:val="nil"/>
              <w:right w:val="single" w:color="auto" w:sz="4" w:space="0"/>
            </w:tcBorders>
            <w:shd w:val="clear" w:color="auto" w:fill="auto"/>
            <w:noWrap/>
            <w:vAlign w:val="center"/>
          </w:tcPr>
          <w:p w14:paraId="75007EBE">
            <w:pPr>
              <w:widowControl/>
              <w:jc w:val="center"/>
              <w:rPr>
                <w:rFonts w:hint="eastAsia" w:ascii="仿宋" w:hAnsi="仿宋" w:eastAsia="仿宋" w:cs="仿宋"/>
                <w:color w:val="000000"/>
                <w:kern w:val="0"/>
                <w:sz w:val="24"/>
                <w:highlight w:val="none"/>
              </w:rPr>
            </w:pPr>
          </w:p>
        </w:tc>
      </w:tr>
      <w:tr w14:paraId="41EFDD18">
        <w:tblPrEx>
          <w:tblCellMar>
            <w:top w:w="0" w:type="dxa"/>
            <w:left w:w="108" w:type="dxa"/>
            <w:bottom w:w="0" w:type="dxa"/>
            <w:right w:w="108" w:type="dxa"/>
          </w:tblCellMar>
        </w:tblPrEx>
        <w:trPr>
          <w:trHeight w:val="283" w:hRule="atLeast"/>
        </w:trPr>
        <w:tc>
          <w:tcPr>
            <w:tcW w:w="0" w:type="auto"/>
            <w:vMerge w:val="continue"/>
            <w:tcBorders>
              <w:top w:val="nil"/>
              <w:left w:val="single" w:color="auto" w:sz="4" w:space="0"/>
              <w:bottom w:val="single" w:color="auto" w:sz="4" w:space="0"/>
              <w:right w:val="single" w:color="auto" w:sz="4" w:space="0"/>
            </w:tcBorders>
            <w:vAlign w:val="center"/>
          </w:tcPr>
          <w:p w14:paraId="56BA23D2">
            <w:pPr>
              <w:widowControl/>
              <w:jc w:val="left"/>
              <w:rPr>
                <w:rFonts w:hint="eastAsia" w:ascii="仿宋" w:hAnsi="仿宋" w:eastAsia="仿宋" w:cs="仿宋"/>
                <w:color w:val="000000"/>
                <w:kern w:val="0"/>
                <w:sz w:val="24"/>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1401DBF8">
            <w:pPr>
              <w:widowControl/>
              <w:jc w:val="left"/>
              <w:rPr>
                <w:rFonts w:hint="eastAsia" w:ascii="仿宋" w:hAnsi="仿宋" w:eastAsia="仿宋" w:cs="仿宋"/>
                <w:color w:val="000000"/>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4C8436">
            <w:pPr>
              <w:widowControl/>
              <w:jc w:val="left"/>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5E1E9E2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天</w:t>
            </w:r>
          </w:p>
        </w:tc>
        <w:tc>
          <w:tcPr>
            <w:tcW w:w="0" w:type="auto"/>
            <w:tcBorders>
              <w:top w:val="nil"/>
              <w:left w:val="nil"/>
              <w:bottom w:val="single" w:color="auto" w:sz="4" w:space="0"/>
              <w:right w:val="single" w:color="auto" w:sz="4" w:space="0"/>
            </w:tcBorders>
            <w:shd w:val="clear" w:color="auto" w:fill="auto"/>
            <w:noWrap/>
            <w:vAlign w:val="center"/>
          </w:tcPr>
          <w:p w14:paraId="5931B658">
            <w:pPr>
              <w:keepNext w:val="0"/>
              <w:keepLines w:val="0"/>
              <w:widowControl/>
              <w:suppressLineNumbers w:val="0"/>
              <w:jc w:val="center"/>
              <w:textAlignment w:val="center"/>
              <w:rPr>
                <w:rFonts w:hint="eastAsia" w:ascii="仿宋" w:hAnsi="仿宋" w:eastAsia="仿宋" w:cs="仿宋"/>
                <w:color w:val="000000"/>
                <w:kern w:val="0"/>
                <w:sz w:val="24"/>
                <w:highlight w:val="none"/>
              </w:rPr>
            </w:pPr>
          </w:p>
        </w:tc>
        <w:tc>
          <w:tcPr>
            <w:tcW w:w="0" w:type="auto"/>
            <w:tcBorders>
              <w:top w:val="nil"/>
              <w:left w:val="nil"/>
              <w:bottom w:val="single" w:color="auto" w:sz="4" w:space="0"/>
              <w:right w:val="single" w:color="auto" w:sz="4" w:space="0"/>
            </w:tcBorders>
            <w:shd w:val="clear" w:color="auto" w:fill="auto"/>
            <w:noWrap/>
            <w:vAlign w:val="center"/>
          </w:tcPr>
          <w:p w14:paraId="674E325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每天按8小时</w:t>
            </w:r>
          </w:p>
        </w:tc>
        <w:tc>
          <w:tcPr>
            <w:tcW w:w="968" w:type="dxa"/>
            <w:vMerge w:val="continue"/>
            <w:tcBorders>
              <w:left w:val="nil"/>
              <w:bottom w:val="single" w:color="auto" w:sz="4" w:space="0"/>
              <w:right w:val="single" w:color="auto" w:sz="4" w:space="0"/>
            </w:tcBorders>
            <w:shd w:val="clear" w:color="auto" w:fill="auto"/>
            <w:noWrap/>
            <w:vAlign w:val="center"/>
          </w:tcPr>
          <w:p w14:paraId="5181EC28">
            <w:pPr>
              <w:widowControl/>
              <w:jc w:val="center"/>
              <w:rPr>
                <w:rFonts w:hint="eastAsia" w:ascii="仿宋" w:hAnsi="仿宋" w:eastAsia="仿宋" w:cs="仿宋"/>
                <w:color w:val="000000"/>
                <w:kern w:val="0"/>
                <w:sz w:val="24"/>
                <w:highlight w:val="none"/>
              </w:rPr>
            </w:pPr>
          </w:p>
        </w:tc>
      </w:tr>
      <w:tr w14:paraId="6650EBDF">
        <w:tblPrEx>
          <w:tblCellMar>
            <w:top w:w="0" w:type="dxa"/>
            <w:left w:w="108" w:type="dxa"/>
            <w:bottom w:w="0" w:type="dxa"/>
            <w:right w:w="108" w:type="dxa"/>
          </w:tblCellMar>
        </w:tblPrEx>
        <w:trPr>
          <w:trHeight w:val="283" w:hRule="atLeast"/>
        </w:trPr>
        <w:tc>
          <w:tcPr>
            <w:tcW w:w="10507" w:type="dxa"/>
            <w:gridSpan w:val="7"/>
            <w:tcBorders>
              <w:top w:val="single" w:color="auto" w:sz="4" w:space="0"/>
              <w:left w:val="single" w:color="auto" w:sz="4" w:space="0"/>
              <w:bottom w:val="single" w:color="auto" w:sz="4" w:space="0"/>
              <w:right w:val="single" w:color="auto" w:sz="4" w:space="0"/>
            </w:tcBorders>
            <w:vAlign w:val="center"/>
          </w:tcPr>
          <w:p w14:paraId="2B8061B6">
            <w:pPr>
              <w:widowControl/>
              <w:jc w:val="both"/>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注： 各投标供应商每项的分项单价报价与分项综合单价最高限价相比的下浮率必须一致，否则，作无效标处理。投标报价超过分项综</w:t>
            </w:r>
            <w:r>
              <w:rPr>
                <w:rFonts w:hint="eastAsia" w:ascii="仿宋" w:hAnsi="仿宋" w:eastAsia="仿宋" w:cs="仿宋"/>
                <w:b/>
                <w:bCs/>
                <w:i w:val="0"/>
                <w:iCs w:val="0"/>
                <w:color w:val="000000"/>
                <w:kern w:val="0"/>
                <w:sz w:val="24"/>
                <w:szCs w:val="24"/>
                <w:highlight w:val="none"/>
                <w:u w:val="none"/>
                <w:lang w:val="en-US" w:eastAsia="zh-CN" w:bidi="ar"/>
              </w:rPr>
              <w:t>合单价最高限价的作无效标处理。每次调配的吊车，其具体作业吨位均按采购人的实际要求执行。</w:t>
            </w:r>
          </w:p>
        </w:tc>
      </w:tr>
    </w:tbl>
    <w:p w14:paraId="772447AA">
      <w:pPr>
        <w:pStyle w:val="2"/>
        <w:ind w:firstLine="281" w:firstLineChars="100"/>
        <w:rPr>
          <w:rFonts w:hint="eastAsia" w:ascii="宋体" w:hAnsi="宋体" w:cs="宋体"/>
          <w:b/>
          <w:bCs/>
          <w:sz w:val="28"/>
          <w:szCs w:val="28"/>
          <w:highlight w:val="none"/>
        </w:rPr>
      </w:pPr>
    </w:p>
    <w:p w14:paraId="24DEE6EC">
      <w:pPr>
        <w:tabs>
          <w:tab w:val="left" w:pos="0"/>
        </w:tabs>
        <w:spacing w:line="400" w:lineRule="exact"/>
        <w:ind w:firstLine="281" w:firstLineChars="100"/>
        <w:jc w:val="left"/>
        <w:rPr>
          <w:rFonts w:hint="eastAsia" w:ascii="宋体" w:hAnsi="宋体" w:cs="宋体"/>
          <w:sz w:val="28"/>
          <w:szCs w:val="28"/>
          <w:highlight w:val="none"/>
        </w:rPr>
      </w:pPr>
      <w:r>
        <w:rPr>
          <w:rFonts w:hint="eastAsia" w:ascii="宋体" w:hAnsi="宋体" w:cs="宋体"/>
          <w:b/>
          <w:bCs/>
          <w:sz w:val="28"/>
          <w:szCs w:val="28"/>
          <w:highlight w:val="none"/>
        </w:rPr>
        <w:t>特别提醒：供应商提前按以上格式制作“谈判响应报价表（最终报价）”，签字（或盖章）并加盖单位公章，供最后报价时使用。</w:t>
      </w:r>
    </w:p>
    <w:p w14:paraId="0F403806">
      <w:pPr>
        <w:spacing w:line="400" w:lineRule="exact"/>
        <w:rPr>
          <w:rFonts w:hint="eastAsia" w:ascii="宋体" w:hAnsi="宋体" w:cs="宋体"/>
          <w:kern w:val="0"/>
          <w:sz w:val="28"/>
          <w:szCs w:val="28"/>
          <w:highlight w:val="none"/>
        </w:rPr>
      </w:pPr>
    </w:p>
    <w:p w14:paraId="3F5CA9F2">
      <w:pPr>
        <w:tabs>
          <w:tab w:val="left" w:pos="0"/>
        </w:tabs>
        <w:spacing w:line="400" w:lineRule="exact"/>
        <w:jc w:val="left"/>
        <w:rPr>
          <w:rFonts w:hint="eastAsia" w:ascii="宋体" w:hAnsi="宋体" w:cs="宋体"/>
          <w:sz w:val="28"/>
          <w:szCs w:val="28"/>
          <w:highlight w:val="none"/>
        </w:rPr>
      </w:pPr>
    </w:p>
    <w:p w14:paraId="3A011BD8">
      <w:pPr>
        <w:tabs>
          <w:tab w:val="left" w:pos="0"/>
        </w:tabs>
        <w:spacing w:line="400" w:lineRule="exact"/>
        <w:jc w:val="left"/>
        <w:rPr>
          <w:rFonts w:hint="eastAsia" w:ascii="宋体" w:hAnsi="宋体" w:cs="宋体"/>
          <w:sz w:val="28"/>
          <w:szCs w:val="28"/>
          <w:highlight w:val="none"/>
        </w:rPr>
      </w:pPr>
      <w:r>
        <w:rPr>
          <w:rFonts w:hint="eastAsia" w:ascii="宋体" w:hAnsi="宋体" w:cs="宋体"/>
          <w:sz w:val="28"/>
          <w:szCs w:val="28"/>
          <w:highlight w:val="none"/>
        </w:rPr>
        <w:t>供应商名称（盖公章）：</w:t>
      </w:r>
      <w:r>
        <w:rPr>
          <w:rFonts w:hint="eastAsia" w:ascii="宋体" w:hAnsi="宋体" w:cs="宋体"/>
          <w:sz w:val="28"/>
          <w:szCs w:val="28"/>
          <w:highlight w:val="none"/>
          <w:u w:val="single"/>
        </w:rPr>
        <w:t xml:space="preserve">                  </w:t>
      </w:r>
    </w:p>
    <w:p w14:paraId="1661BDE5">
      <w:pPr>
        <w:tabs>
          <w:tab w:val="left" w:pos="0"/>
        </w:tabs>
        <w:spacing w:line="400" w:lineRule="exact"/>
        <w:jc w:val="left"/>
        <w:rPr>
          <w:rFonts w:hint="eastAsia" w:ascii="宋体" w:hAnsi="宋体" w:cs="宋体"/>
          <w:sz w:val="28"/>
          <w:szCs w:val="28"/>
          <w:highlight w:val="none"/>
        </w:rPr>
      </w:pPr>
      <w:r>
        <w:rPr>
          <w:rFonts w:hint="eastAsia" w:ascii="宋体" w:hAnsi="宋体" w:cs="宋体"/>
          <w:sz w:val="28"/>
          <w:szCs w:val="28"/>
          <w:highlight w:val="none"/>
        </w:rPr>
        <w:t>法定代表人或被授权人（签字或盖章）：</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7C7CBF75">
      <w:pPr>
        <w:tabs>
          <w:tab w:val="left" w:pos="0"/>
        </w:tabs>
        <w:spacing w:line="400" w:lineRule="exact"/>
        <w:jc w:val="left"/>
        <w:rPr>
          <w:rFonts w:hint="eastAsia" w:ascii="宋体" w:hAnsi="宋体" w:cs="宋体"/>
          <w:sz w:val="28"/>
          <w:szCs w:val="28"/>
          <w:highlight w:val="none"/>
        </w:rPr>
      </w:pPr>
      <w:r>
        <w:rPr>
          <w:rFonts w:hint="eastAsia" w:ascii="宋体" w:hAnsi="宋体" w:cs="宋体"/>
          <w:sz w:val="28"/>
          <w:highlight w:val="none"/>
        </w:rPr>
        <w:t>联系电话：</w:t>
      </w:r>
      <w:r>
        <w:rPr>
          <w:rFonts w:hint="eastAsia" w:ascii="宋体" w:hAnsi="宋体" w:cs="宋体"/>
          <w:sz w:val="28"/>
          <w:highlight w:val="none"/>
          <w:u w:val="single"/>
        </w:rPr>
        <w:t xml:space="preserve">                               </w:t>
      </w:r>
      <w:r>
        <w:rPr>
          <w:rFonts w:hint="eastAsia" w:ascii="宋体" w:hAnsi="宋体" w:cs="宋体"/>
          <w:sz w:val="28"/>
          <w:szCs w:val="28"/>
          <w:highlight w:val="none"/>
        </w:rPr>
        <w:t xml:space="preserve">            </w:t>
      </w:r>
    </w:p>
    <w:p w14:paraId="7A59CBA6">
      <w:pPr>
        <w:snapToGrid w:val="0"/>
        <w:spacing w:line="300" w:lineRule="auto"/>
        <w:outlineLvl w:val="0"/>
        <w:rPr>
          <w:sz w:val="28"/>
          <w:szCs w:val="28"/>
          <w:highlight w:val="none"/>
        </w:rPr>
      </w:pPr>
      <w:r>
        <w:rPr>
          <w:rFonts w:hint="eastAsia" w:ascii="宋体" w:hAnsi="宋体" w:cs="宋体"/>
          <w:sz w:val="28"/>
          <w:szCs w:val="28"/>
          <w:highlight w:val="none"/>
          <w:lang w:bidi="ar"/>
        </w:rPr>
        <w:t>日期</w:t>
      </w:r>
      <w:r>
        <w:rPr>
          <w:rFonts w:hint="eastAsia" w:ascii="宋体" w:hAnsi="宋体" w:cs="宋体"/>
          <w:bCs/>
          <w:sz w:val="28"/>
          <w:szCs w:val="28"/>
          <w:highlight w:val="none"/>
          <w:lang w:bidi="ar"/>
        </w:rPr>
        <w:t>：______年</w:t>
      </w:r>
      <w:r>
        <w:rPr>
          <w:rFonts w:hint="eastAsia" w:ascii="宋体" w:hAnsi="宋体" w:cs="宋体"/>
          <w:bCs/>
          <w:sz w:val="28"/>
          <w:szCs w:val="28"/>
          <w:highlight w:val="none"/>
          <w:u w:val="single"/>
          <w:lang w:bidi="ar"/>
        </w:rPr>
        <w:t xml:space="preserve">    </w:t>
      </w:r>
      <w:r>
        <w:rPr>
          <w:rFonts w:hint="eastAsia" w:ascii="宋体" w:hAnsi="宋体" w:cs="宋体"/>
          <w:bCs/>
          <w:sz w:val="28"/>
          <w:szCs w:val="28"/>
          <w:highlight w:val="none"/>
          <w:lang w:bidi="ar"/>
        </w:rPr>
        <w:t>月</w:t>
      </w:r>
      <w:r>
        <w:rPr>
          <w:rFonts w:hint="eastAsia" w:ascii="宋体" w:hAnsi="宋体" w:cs="宋体"/>
          <w:bCs/>
          <w:sz w:val="28"/>
          <w:szCs w:val="28"/>
          <w:highlight w:val="none"/>
          <w:u w:val="single"/>
          <w:lang w:bidi="ar"/>
        </w:rPr>
        <w:t xml:space="preserve">    </w:t>
      </w:r>
      <w:r>
        <w:rPr>
          <w:rFonts w:hint="eastAsia" w:ascii="宋体" w:hAnsi="宋体" w:cs="宋体"/>
          <w:bCs/>
          <w:sz w:val="28"/>
          <w:szCs w:val="28"/>
          <w:highlight w:val="none"/>
          <w:lang w:bidi="ar"/>
        </w:rPr>
        <w:t>日</w:t>
      </w:r>
      <w:r>
        <w:rPr>
          <w:rFonts w:hint="eastAsia" w:ascii="宋体" w:hAnsi="宋体" w:cs="宋体"/>
          <w:sz w:val="32"/>
          <w:szCs w:val="32"/>
          <w:highlight w:val="none"/>
        </w:rPr>
        <w:br w:type="page"/>
      </w:r>
    </w:p>
    <w:p w14:paraId="56AB4248">
      <w:pPr>
        <w:snapToGrid w:val="0"/>
        <w:spacing w:line="300" w:lineRule="auto"/>
        <w:outlineLvl w:val="0"/>
        <w:rPr>
          <w:rFonts w:eastAsia="方正黑体_GBK"/>
          <w:sz w:val="32"/>
          <w:szCs w:val="32"/>
          <w:highlight w:val="none"/>
        </w:rPr>
        <w:sectPr>
          <w:pgSz w:w="11907" w:h="16839"/>
          <w:pgMar w:top="1440" w:right="1417" w:bottom="1440" w:left="1417" w:header="720" w:footer="720" w:gutter="0"/>
          <w:cols w:space="720" w:num="1"/>
          <w:docGrid w:linePitch="286" w:charSpace="0"/>
        </w:sectPr>
      </w:pPr>
    </w:p>
    <w:p w14:paraId="3BEB0ABD">
      <w:pPr>
        <w:pStyle w:val="41"/>
        <w:rPr>
          <w:rFonts w:hint="eastAsia"/>
          <w:highlight w:val="none"/>
        </w:rPr>
      </w:pPr>
    </w:p>
    <w:p w14:paraId="49BBDC80">
      <w:pPr>
        <w:pStyle w:val="41"/>
        <w:rPr>
          <w:rFonts w:hint="default" w:ascii="宋体" w:hAnsi="宋体" w:eastAsia="宋体" w:cs="宋体"/>
          <w:highlight w:val="none"/>
          <w:lang w:val="en-US" w:eastAsia="zh-CN"/>
        </w:rPr>
      </w:pPr>
      <w:r>
        <w:rPr>
          <w:rFonts w:hint="eastAsia" w:ascii="宋体" w:hAnsi="宋体" w:eastAsia="宋体" w:cs="宋体"/>
          <w:sz w:val="32"/>
          <w:szCs w:val="32"/>
          <w:highlight w:val="none"/>
        </w:rPr>
        <w:t>附件</w:t>
      </w:r>
      <w:r>
        <w:rPr>
          <w:rFonts w:hint="eastAsia" w:ascii="宋体" w:hAnsi="宋体" w:eastAsia="宋体" w:cs="宋体"/>
          <w:sz w:val="32"/>
          <w:szCs w:val="32"/>
          <w:highlight w:val="none"/>
          <w:lang w:val="en-US" w:eastAsia="zh-CN"/>
        </w:rPr>
        <w:t>7</w:t>
      </w:r>
    </w:p>
    <w:p w14:paraId="065DA8B5">
      <w:pPr>
        <w:jc w:val="center"/>
        <w:rPr>
          <w:rFonts w:ascii="黑体" w:hAnsi="黑体" w:eastAsia="黑体" w:cs="仿宋"/>
          <w:bCs/>
          <w:sz w:val="44"/>
          <w:szCs w:val="44"/>
          <w:highlight w:val="none"/>
        </w:rPr>
      </w:pPr>
      <w:r>
        <w:rPr>
          <w:rFonts w:hint="eastAsia" w:ascii="黑体" w:hAnsi="黑体" w:eastAsia="黑体" w:cs="仿宋"/>
          <w:bCs/>
          <w:sz w:val="44"/>
          <w:szCs w:val="44"/>
          <w:highlight w:val="none"/>
        </w:rPr>
        <w:t>质疑函范本</w:t>
      </w:r>
    </w:p>
    <w:p w14:paraId="661EE5CC">
      <w:pPr>
        <w:adjustRightInd w:val="0"/>
        <w:snapToGrid w:val="0"/>
        <w:spacing w:before="240" w:beforeLines="100" w:line="360" w:lineRule="auto"/>
        <w:rPr>
          <w:rFonts w:ascii="宋体" w:hAnsi="宋体" w:cs="仿宋"/>
          <w:bCs/>
          <w:sz w:val="32"/>
          <w:szCs w:val="32"/>
          <w:highlight w:val="none"/>
        </w:rPr>
      </w:pPr>
      <w:r>
        <w:rPr>
          <w:rFonts w:hint="eastAsia" w:ascii="宋体" w:hAnsi="宋体" w:cs="仿宋"/>
          <w:bCs/>
          <w:sz w:val="32"/>
          <w:szCs w:val="32"/>
          <w:highlight w:val="none"/>
        </w:rPr>
        <w:t>一、质疑供应商基本信息</w:t>
      </w:r>
    </w:p>
    <w:p w14:paraId="1E1654DA">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质疑供应商：</w:t>
      </w:r>
    </w:p>
    <w:p w14:paraId="375A953B">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地址：邮编：</w:t>
      </w:r>
    </w:p>
    <w:p w14:paraId="276C17C2">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联系人：联系电话：</w:t>
      </w:r>
    </w:p>
    <w:p w14:paraId="693AEEEC">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授权代表：</w:t>
      </w:r>
    </w:p>
    <w:p w14:paraId="4045DF70">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联系电话：</w:t>
      </w:r>
    </w:p>
    <w:p w14:paraId="16D67C3D">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地址：邮编：</w:t>
      </w:r>
    </w:p>
    <w:p w14:paraId="28A66DBD">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二、质疑项目基本情况</w:t>
      </w:r>
    </w:p>
    <w:p w14:paraId="5F665D30">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质疑项目的名称：</w:t>
      </w:r>
    </w:p>
    <w:p w14:paraId="08A2BBC8">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质疑项目的编号：包号：</w:t>
      </w:r>
    </w:p>
    <w:p w14:paraId="1C178081">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采购人名称：</w:t>
      </w:r>
    </w:p>
    <w:p w14:paraId="746C22A4">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采购文件获取日期：</w:t>
      </w:r>
    </w:p>
    <w:p w14:paraId="5E0C48DC">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三、质疑事项具体内容</w:t>
      </w:r>
    </w:p>
    <w:p w14:paraId="7952F7E4">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质疑事项1：</w:t>
      </w:r>
    </w:p>
    <w:p w14:paraId="03495825">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事实依据：</w:t>
      </w:r>
    </w:p>
    <w:p w14:paraId="5115C918">
      <w:pPr>
        <w:adjustRightInd w:val="0"/>
        <w:snapToGrid w:val="0"/>
        <w:spacing w:line="360" w:lineRule="auto"/>
        <w:rPr>
          <w:rFonts w:ascii="宋体" w:hAnsi="宋体" w:cs="仿宋"/>
          <w:sz w:val="32"/>
          <w:szCs w:val="32"/>
          <w:highlight w:val="none"/>
        </w:rPr>
      </w:pPr>
    </w:p>
    <w:p w14:paraId="33337EB7">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法律依据：</w:t>
      </w:r>
    </w:p>
    <w:p w14:paraId="50C1E476">
      <w:pPr>
        <w:adjustRightInd w:val="0"/>
        <w:snapToGrid w:val="0"/>
        <w:spacing w:line="360" w:lineRule="auto"/>
        <w:rPr>
          <w:rFonts w:ascii="宋体" w:hAnsi="宋体" w:cs="仿宋"/>
          <w:sz w:val="32"/>
          <w:szCs w:val="32"/>
          <w:highlight w:val="none"/>
          <w:u w:val="dotted"/>
        </w:rPr>
      </w:pPr>
    </w:p>
    <w:p w14:paraId="127A2A7D">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质疑事项2</w:t>
      </w:r>
    </w:p>
    <w:p w14:paraId="4CA08E91">
      <w:pPr>
        <w:adjustRightInd w:val="0"/>
        <w:snapToGrid w:val="0"/>
        <w:spacing w:line="360" w:lineRule="auto"/>
        <w:rPr>
          <w:rFonts w:ascii="宋体" w:hAnsi="宋体" w:cs="仿宋"/>
          <w:sz w:val="32"/>
          <w:szCs w:val="32"/>
          <w:highlight w:val="none"/>
        </w:rPr>
      </w:pPr>
      <w:r>
        <w:rPr>
          <w:rFonts w:hint="eastAsia" w:ascii="宋体" w:hAnsi="宋体" w:cs="仿宋"/>
          <w:sz w:val="32"/>
          <w:szCs w:val="32"/>
          <w:highlight w:val="none"/>
        </w:rPr>
        <w:t>……</w:t>
      </w:r>
    </w:p>
    <w:p w14:paraId="2430F3A1">
      <w:pPr>
        <w:adjustRightInd w:val="0"/>
        <w:snapToGrid w:val="0"/>
        <w:spacing w:line="360" w:lineRule="auto"/>
        <w:rPr>
          <w:rFonts w:ascii="宋体" w:hAnsi="宋体" w:cs="仿宋"/>
          <w:bCs/>
          <w:sz w:val="32"/>
          <w:szCs w:val="32"/>
          <w:highlight w:val="none"/>
        </w:rPr>
      </w:pPr>
      <w:r>
        <w:rPr>
          <w:rFonts w:hint="eastAsia" w:ascii="宋体" w:hAnsi="宋体" w:cs="仿宋"/>
          <w:bCs/>
          <w:sz w:val="32"/>
          <w:szCs w:val="32"/>
          <w:highlight w:val="none"/>
        </w:rPr>
        <w:t>四、与质疑事项相关的质疑请求</w:t>
      </w:r>
    </w:p>
    <w:p w14:paraId="1FF1B7C0">
      <w:pPr>
        <w:adjustRightInd w:val="0"/>
        <w:snapToGrid w:val="0"/>
        <w:spacing w:line="360" w:lineRule="auto"/>
        <w:rPr>
          <w:rFonts w:ascii="宋体" w:hAnsi="宋体" w:cs="仿宋"/>
          <w:sz w:val="32"/>
          <w:szCs w:val="32"/>
          <w:highlight w:val="none"/>
          <w:u w:val="dotted"/>
        </w:rPr>
      </w:pPr>
      <w:r>
        <w:rPr>
          <w:rFonts w:hint="eastAsia" w:ascii="宋体" w:hAnsi="宋体" w:cs="仿宋"/>
          <w:sz w:val="32"/>
          <w:szCs w:val="32"/>
          <w:highlight w:val="none"/>
        </w:rPr>
        <w:t>请求：</w:t>
      </w:r>
    </w:p>
    <w:p w14:paraId="3F053D21">
      <w:pPr>
        <w:rPr>
          <w:rFonts w:ascii="宋体" w:hAnsi="宋体"/>
          <w:sz w:val="30"/>
          <w:szCs w:val="30"/>
          <w:highlight w:val="none"/>
        </w:rPr>
      </w:pPr>
      <w:r>
        <w:rPr>
          <w:rFonts w:hint="eastAsia" w:ascii="宋体" w:hAnsi="宋体"/>
          <w:sz w:val="30"/>
          <w:szCs w:val="30"/>
          <w:highlight w:val="none"/>
        </w:rPr>
        <w:t xml:space="preserve">签字(签章)：                   公章：                      </w:t>
      </w:r>
    </w:p>
    <w:p w14:paraId="28E88BF9">
      <w:pPr>
        <w:rPr>
          <w:rFonts w:ascii="宋体" w:hAnsi="宋体"/>
          <w:sz w:val="30"/>
          <w:szCs w:val="30"/>
          <w:highlight w:val="none"/>
        </w:rPr>
      </w:pPr>
      <w:r>
        <w:rPr>
          <w:rFonts w:hint="eastAsia" w:ascii="宋体" w:hAnsi="宋体"/>
          <w:sz w:val="30"/>
          <w:szCs w:val="30"/>
          <w:highlight w:val="none"/>
        </w:rPr>
        <w:t xml:space="preserve">日期：    </w:t>
      </w:r>
    </w:p>
    <w:p w14:paraId="02DBA3DF">
      <w:pPr>
        <w:adjustRightInd w:val="0"/>
        <w:snapToGrid w:val="0"/>
        <w:spacing w:line="360" w:lineRule="auto"/>
        <w:rPr>
          <w:rFonts w:ascii="宋体" w:hAnsi="宋体" w:cs="仿宋"/>
          <w:sz w:val="32"/>
          <w:szCs w:val="32"/>
          <w:highlight w:val="none"/>
        </w:rPr>
      </w:pPr>
    </w:p>
    <w:p w14:paraId="79DE85F7">
      <w:pPr>
        <w:rPr>
          <w:rFonts w:ascii="宋体" w:hAnsi="宋体"/>
          <w:b/>
          <w:sz w:val="32"/>
          <w:szCs w:val="32"/>
          <w:highlight w:val="none"/>
        </w:rPr>
      </w:pPr>
    </w:p>
    <w:p w14:paraId="1A835C64">
      <w:pPr>
        <w:rPr>
          <w:rFonts w:ascii="宋体" w:hAnsi="宋体"/>
          <w:b/>
          <w:sz w:val="32"/>
          <w:szCs w:val="32"/>
          <w:highlight w:val="none"/>
        </w:rPr>
      </w:pPr>
      <w:r>
        <w:rPr>
          <w:rFonts w:hint="eastAsia" w:ascii="宋体" w:hAnsi="宋体"/>
          <w:b/>
          <w:sz w:val="32"/>
          <w:szCs w:val="32"/>
          <w:highlight w:val="none"/>
        </w:rPr>
        <w:t>质疑函制作说明：</w:t>
      </w:r>
    </w:p>
    <w:p w14:paraId="6D6083DE">
      <w:pPr>
        <w:widowControl/>
        <w:ind w:firstLine="640" w:firstLineChars="200"/>
        <w:jc w:val="left"/>
        <w:rPr>
          <w:rFonts w:ascii="宋体" w:hAnsi="宋体"/>
          <w:sz w:val="32"/>
          <w:szCs w:val="32"/>
          <w:highlight w:val="none"/>
        </w:rPr>
      </w:pPr>
      <w:r>
        <w:rPr>
          <w:rFonts w:hint="eastAsia" w:ascii="宋体" w:hAnsi="宋体"/>
          <w:sz w:val="32"/>
          <w:szCs w:val="32"/>
          <w:highlight w:val="none"/>
        </w:rPr>
        <w:t>1.供应商提出质疑时，应提交质疑函和必要的证明材料。</w:t>
      </w:r>
    </w:p>
    <w:p w14:paraId="473780B0">
      <w:pPr>
        <w:widowControl/>
        <w:ind w:firstLine="640" w:firstLineChars="200"/>
        <w:jc w:val="left"/>
        <w:rPr>
          <w:rFonts w:ascii="宋体" w:hAnsi="宋体"/>
          <w:sz w:val="32"/>
          <w:szCs w:val="32"/>
          <w:highlight w:val="none"/>
        </w:rPr>
      </w:pPr>
      <w:r>
        <w:rPr>
          <w:rFonts w:hint="eastAsia" w:ascii="宋体" w:hAnsi="宋体"/>
          <w:sz w:val="32"/>
          <w:szCs w:val="32"/>
          <w:highlight w:val="none"/>
        </w:rPr>
        <w:t>2.质疑供应商若委托代理人进行质疑的，质疑函应按要求列明“授权代表”的有关内容，并在附件中提交由质疑</w:t>
      </w:r>
      <w:r>
        <w:rPr>
          <w:rFonts w:hint="eastAsia" w:ascii="宋体" w:hAnsi="宋体" w:cs="宋体"/>
          <w:kern w:val="0"/>
          <w:sz w:val="32"/>
          <w:szCs w:val="32"/>
          <w:highlight w:val="none"/>
        </w:rPr>
        <w:t>供应商签署的授权委托书。授权委托书应载明代理人的姓名或者名称、代理事项、具体权限、期限和相关事项。</w:t>
      </w:r>
    </w:p>
    <w:p w14:paraId="06C9BBDE">
      <w:pPr>
        <w:widowControl/>
        <w:ind w:firstLine="640" w:firstLineChars="200"/>
        <w:jc w:val="left"/>
        <w:rPr>
          <w:rFonts w:ascii="宋体" w:hAnsi="宋体"/>
          <w:sz w:val="32"/>
          <w:szCs w:val="32"/>
          <w:highlight w:val="none"/>
        </w:rPr>
      </w:pPr>
      <w:r>
        <w:rPr>
          <w:rFonts w:hint="eastAsia" w:ascii="宋体" w:hAnsi="宋体"/>
          <w:sz w:val="32"/>
          <w:szCs w:val="32"/>
          <w:highlight w:val="none"/>
        </w:rPr>
        <w:t>3.质疑供应商若对项目的某一分包进行质疑，质疑函中应列明具体分包号。</w:t>
      </w:r>
    </w:p>
    <w:p w14:paraId="36F41224">
      <w:pPr>
        <w:widowControl/>
        <w:ind w:firstLine="640" w:firstLineChars="200"/>
        <w:jc w:val="left"/>
        <w:rPr>
          <w:rFonts w:ascii="宋体" w:hAnsi="宋体"/>
          <w:sz w:val="32"/>
          <w:szCs w:val="32"/>
          <w:highlight w:val="none"/>
        </w:rPr>
      </w:pPr>
      <w:r>
        <w:rPr>
          <w:rFonts w:hint="eastAsia" w:ascii="宋体" w:hAnsi="宋体"/>
          <w:sz w:val="32"/>
          <w:szCs w:val="32"/>
          <w:highlight w:val="none"/>
        </w:rPr>
        <w:t>4.质疑函的质疑事项应具体、明确，并有必要的事实依据和法律依据。</w:t>
      </w:r>
    </w:p>
    <w:p w14:paraId="6091691C">
      <w:pPr>
        <w:widowControl/>
        <w:ind w:firstLine="640" w:firstLineChars="200"/>
        <w:jc w:val="left"/>
        <w:rPr>
          <w:rFonts w:ascii="宋体" w:hAnsi="宋体"/>
          <w:sz w:val="32"/>
          <w:szCs w:val="32"/>
          <w:highlight w:val="none"/>
        </w:rPr>
      </w:pPr>
      <w:r>
        <w:rPr>
          <w:rFonts w:hint="eastAsia" w:ascii="宋体" w:hAnsi="宋体"/>
          <w:sz w:val="32"/>
          <w:szCs w:val="32"/>
          <w:highlight w:val="none"/>
        </w:rPr>
        <w:t>5.质疑函的质疑请求应与质疑事项相关。</w:t>
      </w:r>
    </w:p>
    <w:p w14:paraId="7433287B">
      <w:pPr>
        <w:widowControl/>
        <w:jc w:val="left"/>
        <w:rPr>
          <w:rFonts w:hint="eastAsia" w:ascii="宋体" w:hAnsi="宋体" w:cs="宋体"/>
          <w:b/>
          <w:sz w:val="24"/>
          <w:highlight w:val="none"/>
        </w:rPr>
      </w:pPr>
      <w:r>
        <w:rPr>
          <w:rFonts w:hint="eastAsia" w:ascii="宋体" w:hAnsi="宋体"/>
          <w:sz w:val="32"/>
          <w:szCs w:val="32"/>
          <w:highlight w:val="none"/>
        </w:rPr>
        <w:t>6.质疑供应商为自然人的，质疑函应由本人签字；质疑供应商为法人或者其他组织的，质疑函应由法定代表人、主要负责人，或者其授权代表签字或者盖章，并加盖公章。</w:t>
      </w:r>
    </w:p>
    <w:sectPr>
      <w:pgSz w:w="11907" w:h="16839"/>
      <w:pgMar w:top="1440" w:right="1417" w:bottom="1440" w:left="141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B4B77">
    <w:pPr>
      <w:pStyle w:val="17"/>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62ECB">
                          <w:pPr>
                            <w:pStyle w:val="17"/>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29E62ECB">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AC90">
    <w:pPr>
      <w:pStyle w:val="17"/>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128</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00E7">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F33D9">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MjdkMzljOTE1MmJlZWJjMDExOTgxODc5OWFmYTgifQ=="/>
  </w:docVars>
  <w:rsids>
    <w:rsidRoot w:val="00E1428C"/>
    <w:rsid w:val="000027DF"/>
    <w:rsid w:val="00004FB3"/>
    <w:rsid w:val="00006069"/>
    <w:rsid w:val="00006222"/>
    <w:rsid w:val="00006B64"/>
    <w:rsid w:val="00006E64"/>
    <w:rsid w:val="00007342"/>
    <w:rsid w:val="000102EA"/>
    <w:rsid w:val="00011F29"/>
    <w:rsid w:val="00012F0F"/>
    <w:rsid w:val="00013DC0"/>
    <w:rsid w:val="00017436"/>
    <w:rsid w:val="00017840"/>
    <w:rsid w:val="000214C9"/>
    <w:rsid w:val="00021EE5"/>
    <w:rsid w:val="00021F24"/>
    <w:rsid w:val="00022471"/>
    <w:rsid w:val="000247CE"/>
    <w:rsid w:val="000249D8"/>
    <w:rsid w:val="00024FEE"/>
    <w:rsid w:val="00026E49"/>
    <w:rsid w:val="00027214"/>
    <w:rsid w:val="000324B9"/>
    <w:rsid w:val="00033A03"/>
    <w:rsid w:val="00033C61"/>
    <w:rsid w:val="00034FFC"/>
    <w:rsid w:val="00035F29"/>
    <w:rsid w:val="000363E7"/>
    <w:rsid w:val="000365DB"/>
    <w:rsid w:val="00037BFF"/>
    <w:rsid w:val="00040BC7"/>
    <w:rsid w:val="00041850"/>
    <w:rsid w:val="00043CCD"/>
    <w:rsid w:val="000443F5"/>
    <w:rsid w:val="0004687B"/>
    <w:rsid w:val="00046AE8"/>
    <w:rsid w:val="00051BE5"/>
    <w:rsid w:val="00051C4B"/>
    <w:rsid w:val="000531E3"/>
    <w:rsid w:val="000555E6"/>
    <w:rsid w:val="00057C9F"/>
    <w:rsid w:val="00061601"/>
    <w:rsid w:val="0006312A"/>
    <w:rsid w:val="0006533C"/>
    <w:rsid w:val="000674BE"/>
    <w:rsid w:val="00067D3A"/>
    <w:rsid w:val="000707B4"/>
    <w:rsid w:val="000733BC"/>
    <w:rsid w:val="000733D5"/>
    <w:rsid w:val="00074C3D"/>
    <w:rsid w:val="00077641"/>
    <w:rsid w:val="000811BB"/>
    <w:rsid w:val="00081A99"/>
    <w:rsid w:val="0008288C"/>
    <w:rsid w:val="00083BF5"/>
    <w:rsid w:val="000860E4"/>
    <w:rsid w:val="00091137"/>
    <w:rsid w:val="000930EC"/>
    <w:rsid w:val="00093F93"/>
    <w:rsid w:val="0009495D"/>
    <w:rsid w:val="00096D7E"/>
    <w:rsid w:val="00097C7C"/>
    <w:rsid w:val="000A3BFD"/>
    <w:rsid w:val="000B0744"/>
    <w:rsid w:val="000B09B6"/>
    <w:rsid w:val="000B4B13"/>
    <w:rsid w:val="000C433D"/>
    <w:rsid w:val="000C6148"/>
    <w:rsid w:val="000C6432"/>
    <w:rsid w:val="000C70B7"/>
    <w:rsid w:val="000D0543"/>
    <w:rsid w:val="000D3C5A"/>
    <w:rsid w:val="000D4824"/>
    <w:rsid w:val="000D68E3"/>
    <w:rsid w:val="000D6B97"/>
    <w:rsid w:val="000D7DAB"/>
    <w:rsid w:val="000E0E54"/>
    <w:rsid w:val="000E2F2C"/>
    <w:rsid w:val="000E474C"/>
    <w:rsid w:val="000E5FA5"/>
    <w:rsid w:val="000F1303"/>
    <w:rsid w:val="000F23EA"/>
    <w:rsid w:val="000F2783"/>
    <w:rsid w:val="000F28DF"/>
    <w:rsid w:val="000F5ACE"/>
    <w:rsid w:val="000F5EFE"/>
    <w:rsid w:val="000F7D4F"/>
    <w:rsid w:val="00103147"/>
    <w:rsid w:val="00103530"/>
    <w:rsid w:val="00104AF2"/>
    <w:rsid w:val="0010514D"/>
    <w:rsid w:val="001104D2"/>
    <w:rsid w:val="00116E44"/>
    <w:rsid w:val="001244CE"/>
    <w:rsid w:val="0012592D"/>
    <w:rsid w:val="0012699C"/>
    <w:rsid w:val="00130BAD"/>
    <w:rsid w:val="00132D06"/>
    <w:rsid w:val="00137F66"/>
    <w:rsid w:val="00141B11"/>
    <w:rsid w:val="001443A6"/>
    <w:rsid w:val="0014603C"/>
    <w:rsid w:val="001463C7"/>
    <w:rsid w:val="0014645D"/>
    <w:rsid w:val="001467F4"/>
    <w:rsid w:val="00150D31"/>
    <w:rsid w:val="00151847"/>
    <w:rsid w:val="00154178"/>
    <w:rsid w:val="00155581"/>
    <w:rsid w:val="00156591"/>
    <w:rsid w:val="001570D4"/>
    <w:rsid w:val="0015743C"/>
    <w:rsid w:val="00160309"/>
    <w:rsid w:val="0016109E"/>
    <w:rsid w:val="001620CF"/>
    <w:rsid w:val="001639C2"/>
    <w:rsid w:val="00163D0B"/>
    <w:rsid w:val="001646CB"/>
    <w:rsid w:val="00166C42"/>
    <w:rsid w:val="0017113F"/>
    <w:rsid w:val="001731C5"/>
    <w:rsid w:val="00173C44"/>
    <w:rsid w:val="0017626E"/>
    <w:rsid w:val="00182C3F"/>
    <w:rsid w:val="00182CCA"/>
    <w:rsid w:val="001869A8"/>
    <w:rsid w:val="00187BE1"/>
    <w:rsid w:val="001903D4"/>
    <w:rsid w:val="001904E4"/>
    <w:rsid w:val="0019251D"/>
    <w:rsid w:val="00192DB5"/>
    <w:rsid w:val="001948CF"/>
    <w:rsid w:val="001951DF"/>
    <w:rsid w:val="00197839"/>
    <w:rsid w:val="001A0364"/>
    <w:rsid w:val="001A1AC6"/>
    <w:rsid w:val="001A3EDD"/>
    <w:rsid w:val="001A47E3"/>
    <w:rsid w:val="001A67C9"/>
    <w:rsid w:val="001A6EBB"/>
    <w:rsid w:val="001B137C"/>
    <w:rsid w:val="001B2572"/>
    <w:rsid w:val="001B344D"/>
    <w:rsid w:val="001B3723"/>
    <w:rsid w:val="001B6B2B"/>
    <w:rsid w:val="001B6EC8"/>
    <w:rsid w:val="001C0EC9"/>
    <w:rsid w:val="001C45F5"/>
    <w:rsid w:val="001C4662"/>
    <w:rsid w:val="001C4E82"/>
    <w:rsid w:val="001C6AFF"/>
    <w:rsid w:val="001D279A"/>
    <w:rsid w:val="001D4EC2"/>
    <w:rsid w:val="001D66F0"/>
    <w:rsid w:val="001D6723"/>
    <w:rsid w:val="001D6A81"/>
    <w:rsid w:val="001D7B6A"/>
    <w:rsid w:val="001E1433"/>
    <w:rsid w:val="001E14DE"/>
    <w:rsid w:val="001E522C"/>
    <w:rsid w:val="001E53BC"/>
    <w:rsid w:val="001F120D"/>
    <w:rsid w:val="001F2433"/>
    <w:rsid w:val="001F3AEC"/>
    <w:rsid w:val="001F4F3E"/>
    <w:rsid w:val="001F7EC5"/>
    <w:rsid w:val="002007BF"/>
    <w:rsid w:val="00201576"/>
    <w:rsid w:val="00202662"/>
    <w:rsid w:val="002037DF"/>
    <w:rsid w:val="00204B7C"/>
    <w:rsid w:val="002106EA"/>
    <w:rsid w:val="002131C8"/>
    <w:rsid w:val="00214649"/>
    <w:rsid w:val="00214B6D"/>
    <w:rsid w:val="00215DD8"/>
    <w:rsid w:val="0021679D"/>
    <w:rsid w:val="002225B3"/>
    <w:rsid w:val="00223407"/>
    <w:rsid w:val="002244DA"/>
    <w:rsid w:val="00227363"/>
    <w:rsid w:val="00227E29"/>
    <w:rsid w:val="00231FE4"/>
    <w:rsid w:val="002330E2"/>
    <w:rsid w:val="00234DAB"/>
    <w:rsid w:val="00235D65"/>
    <w:rsid w:val="00241BB8"/>
    <w:rsid w:val="002438B8"/>
    <w:rsid w:val="00244939"/>
    <w:rsid w:val="002468F0"/>
    <w:rsid w:val="00247C93"/>
    <w:rsid w:val="00250900"/>
    <w:rsid w:val="0025439F"/>
    <w:rsid w:val="00254A15"/>
    <w:rsid w:val="00255699"/>
    <w:rsid w:val="002602DD"/>
    <w:rsid w:val="0026242C"/>
    <w:rsid w:val="002647BE"/>
    <w:rsid w:val="00270410"/>
    <w:rsid w:val="00274032"/>
    <w:rsid w:val="002748BD"/>
    <w:rsid w:val="0027499D"/>
    <w:rsid w:val="002840DC"/>
    <w:rsid w:val="002871A5"/>
    <w:rsid w:val="0029048B"/>
    <w:rsid w:val="00290923"/>
    <w:rsid w:val="00291471"/>
    <w:rsid w:val="00292164"/>
    <w:rsid w:val="002941BE"/>
    <w:rsid w:val="00294605"/>
    <w:rsid w:val="00295245"/>
    <w:rsid w:val="002975D9"/>
    <w:rsid w:val="002A0D3B"/>
    <w:rsid w:val="002A1054"/>
    <w:rsid w:val="002A451C"/>
    <w:rsid w:val="002A4991"/>
    <w:rsid w:val="002A5135"/>
    <w:rsid w:val="002A7F5E"/>
    <w:rsid w:val="002B1C92"/>
    <w:rsid w:val="002B2E0E"/>
    <w:rsid w:val="002B64B0"/>
    <w:rsid w:val="002C02A7"/>
    <w:rsid w:val="002C04E9"/>
    <w:rsid w:val="002C1773"/>
    <w:rsid w:val="002C221F"/>
    <w:rsid w:val="002C29D9"/>
    <w:rsid w:val="002C41EE"/>
    <w:rsid w:val="002C4C6D"/>
    <w:rsid w:val="002C72A6"/>
    <w:rsid w:val="002C7639"/>
    <w:rsid w:val="002D0C68"/>
    <w:rsid w:val="002D18F3"/>
    <w:rsid w:val="002D255D"/>
    <w:rsid w:val="002D6B94"/>
    <w:rsid w:val="002D714C"/>
    <w:rsid w:val="002E0E57"/>
    <w:rsid w:val="002E1B37"/>
    <w:rsid w:val="002E1ECF"/>
    <w:rsid w:val="002E27F7"/>
    <w:rsid w:val="002E42CD"/>
    <w:rsid w:val="002E56B3"/>
    <w:rsid w:val="002E7263"/>
    <w:rsid w:val="002F0CF8"/>
    <w:rsid w:val="002F2DDD"/>
    <w:rsid w:val="002F4256"/>
    <w:rsid w:val="002F5BD8"/>
    <w:rsid w:val="002F60B7"/>
    <w:rsid w:val="002F6D18"/>
    <w:rsid w:val="002F6EC6"/>
    <w:rsid w:val="003009D5"/>
    <w:rsid w:val="00300A5F"/>
    <w:rsid w:val="00302E16"/>
    <w:rsid w:val="00310100"/>
    <w:rsid w:val="00311776"/>
    <w:rsid w:val="00314C38"/>
    <w:rsid w:val="00320476"/>
    <w:rsid w:val="00320B07"/>
    <w:rsid w:val="00320C34"/>
    <w:rsid w:val="00321CBF"/>
    <w:rsid w:val="00322B57"/>
    <w:rsid w:val="00325316"/>
    <w:rsid w:val="00330686"/>
    <w:rsid w:val="00334C59"/>
    <w:rsid w:val="003406AD"/>
    <w:rsid w:val="003436D0"/>
    <w:rsid w:val="00343D2E"/>
    <w:rsid w:val="0035199B"/>
    <w:rsid w:val="003534FE"/>
    <w:rsid w:val="00355DE5"/>
    <w:rsid w:val="003602C3"/>
    <w:rsid w:val="00361079"/>
    <w:rsid w:val="00364309"/>
    <w:rsid w:val="0037007E"/>
    <w:rsid w:val="003752C8"/>
    <w:rsid w:val="00381D8F"/>
    <w:rsid w:val="00384F5C"/>
    <w:rsid w:val="00385B36"/>
    <w:rsid w:val="0039137F"/>
    <w:rsid w:val="003917C4"/>
    <w:rsid w:val="00395251"/>
    <w:rsid w:val="00395FAE"/>
    <w:rsid w:val="003974CF"/>
    <w:rsid w:val="003A3808"/>
    <w:rsid w:val="003A3BFD"/>
    <w:rsid w:val="003A54ED"/>
    <w:rsid w:val="003A6B66"/>
    <w:rsid w:val="003B15B3"/>
    <w:rsid w:val="003B1C66"/>
    <w:rsid w:val="003B38ED"/>
    <w:rsid w:val="003B5148"/>
    <w:rsid w:val="003C6991"/>
    <w:rsid w:val="003C71ED"/>
    <w:rsid w:val="003D06E5"/>
    <w:rsid w:val="003D199E"/>
    <w:rsid w:val="003D4401"/>
    <w:rsid w:val="003D64B6"/>
    <w:rsid w:val="003D64DD"/>
    <w:rsid w:val="003E57AC"/>
    <w:rsid w:val="003F1853"/>
    <w:rsid w:val="003F2044"/>
    <w:rsid w:val="003F3E0C"/>
    <w:rsid w:val="003F4D19"/>
    <w:rsid w:val="003F549E"/>
    <w:rsid w:val="003F54BE"/>
    <w:rsid w:val="003F5D1B"/>
    <w:rsid w:val="003F7843"/>
    <w:rsid w:val="00403B9D"/>
    <w:rsid w:val="00406045"/>
    <w:rsid w:val="00407903"/>
    <w:rsid w:val="00407BFC"/>
    <w:rsid w:val="004101B0"/>
    <w:rsid w:val="004103F6"/>
    <w:rsid w:val="00410D0B"/>
    <w:rsid w:val="00411CA3"/>
    <w:rsid w:val="00412036"/>
    <w:rsid w:val="00417B67"/>
    <w:rsid w:val="00422590"/>
    <w:rsid w:val="00422C44"/>
    <w:rsid w:val="00423142"/>
    <w:rsid w:val="00431BA5"/>
    <w:rsid w:val="00432FD1"/>
    <w:rsid w:val="00434A49"/>
    <w:rsid w:val="004358AD"/>
    <w:rsid w:val="004358DC"/>
    <w:rsid w:val="00435AA8"/>
    <w:rsid w:val="00436F81"/>
    <w:rsid w:val="00443C88"/>
    <w:rsid w:val="0044543D"/>
    <w:rsid w:val="00446291"/>
    <w:rsid w:val="004464E9"/>
    <w:rsid w:val="00452A22"/>
    <w:rsid w:val="00456B89"/>
    <w:rsid w:val="00456FBC"/>
    <w:rsid w:val="00461B41"/>
    <w:rsid w:val="00462EA0"/>
    <w:rsid w:val="00463A95"/>
    <w:rsid w:val="0046678D"/>
    <w:rsid w:val="00470177"/>
    <w:rsid w:val="00472D00"/>
    <w:rsid w:val="00472FA9"/>
    <w:rsid w:val="0047528B"/>
    <w:rsid w:val="004758BA"/>
    <w:rsid w:val="00476030"/>
    <w:rsid w:val="004767BD"/>
    <w:rsid w:val="0048021C"/>
    <w:rsid w:val="00480AC6"/>
    <w:rsid w:val="00481750"/>
    <w:rsid w:val="0048181A"/>
    <w:rsid w:val="00482671"/>
    <w:rsid w:val="00482CF1"/>
    <w:rsid w:val="00483895"/>
    <w:rsid w:val="004840BA"/>
    <w:rsid w:val="00490A35"/>
    <w:rsid w:val="00495061"/>
    <w:rsid w:val="004956F7"/>
    <w:rsid w:val="00495EB8"/>
    <w:rsid w:val="00496FC3"/>
    <w:rsid w:val="00497322"/>
    <w:rsid w:val="004A3046"/>
    <w:rsid w:val="004A4782"/>
    <w:rsid w:val="004A4B9D"/>
    <w:rsid w:val="004A704F"/>
    <w:rsid w:val="004A747D"/>
    <w:rsid w:val="004B4B6D"/>
    <w:rsid w:val="004B6DF6"/>
    <w:rsid w:val="004C1B27"/>
    <w:rsid w:val="004C201C"/>
    <w:rsid w:val="004C2C06"/>
    <w:rsid w:val="004C385B"/>
    <w:rsid w:val="004C67E2"/>
    <w:rsid w:val="004C6D02"/>
    <w:rsid w:val="004C6F23"/>
    <w:rsid w:val="004D01E3"/>
    <w:rsid w:val="004D144D"/>
    <w:rsid w:val="004D1CDD"/>
    <w:rsid w:val="004D21FC"/>
    <w:rsid w:val="004D2202"/>
    <w:rsid w:val="004D2E8C"/>
    <w:rsid w:val="004D3579"/>
    <w:rsid w:val="004D3773"/>
    <w:rsid w:val="004D5292"/>
    <w:rsid w:val="004E152F"/>
    <w:rsid w:val="004E2A00"/>
    <w:rsid w:val="004E2F63"/>
    <w:rsid w:val="004E3BF5"/>
    <w:rsid w:val="004F099F"/>
    <w:rsid w:val="004F3CB4"/>
    <w:rsid w:val="004F760C"/>
    <w:rsid w:val="00503BA7"/>
    <w:rsid w:val="00504B97"/>
    <w:rsid w:val="0050700C"/>
    <w:rsid w:val="00513B39"/>
    <w:rsid w:val="00515B97"/>
    <w:rsid w:val="00516020"/>
    <w:rsid w:val="0052071E"/>
    <w:rsid w:val="00520849"/>
    <w:rsid w:val="00521230"/>
    <w:rsid w:val="00521668"/>
    <w:rsid w:val="0052263A"/>
    <w:rsid w:val="00527470"/>
    <w:rsid w:val="00530A3C"/>
    <w:rsid w:val="00532491"/>
    <w:rsid w:val="00533458"/>
    <w:rsid w:val="0053376D"/>
    <w:rsid w:val="00533AD9"/>
    <w:rsid w:val="00534F0F"/>
    <w:rsid w:val="00536690"/>
    <w:rsid w:val="00540B38"/>
    <w:rsid w:val="00542B48"/>
    <w:rsid w:val="0054329E"/>
    <w:rsid w:val="00544AD1"/>
    <w:rsid w:val="00545012"/>
    <w:rsid w:val="005462B6"/>
    <w:rsid w:val="00547DED"/>
    <w:rsid w:val="00551258"/>
    <w:rsid w:val="0055128C"/>
    <w:rsid w:val="00554692"/>
    <w:rsid w:val="005558BB"/>
    <w:rsid w:val="00556006"/>
    <w:rsid w:val="005569D2"/>
    <w:rsid w:val="00561A91"/>
    <w:rsid w:val="00562FB5"/>
    <w:rsid w:val="005632D0"/>
    <w:rsid w:val="00573B17"/>
    <w:rsid w:val="00574BC3"/>
    <w:rsid w:val="00574E68"/>
    <w:rsid w:val="00581010"/>
    <w:rsid w:val="00581A38"/>
    <w:rsid w:val="00581AA7"/>
    <w:rsid w:val="00585AEF"/>
    <w:rsid w:val="00585EF4"/>
    <w:rsid w:val="00585FAF"/>
    <w:rsid w:val="00586D80"/>
    <w:rsid w:val="00586E7E"/>
    <w:rsid w:val="00587878"/>
    <w:rsid w:val="005909CE"/>
    <w:rsid w:val="00593490"/>
    <w:rsid w:val="0059608C"/>
    <w:rsid w:val="0059687A"/>
    <w:rsid w:val="005A1415"/>
    <w:rsid w:val="005A15A6"/>
    <w:rsid w:val="005A506D"/>
    <w:rsid w:val="005A5389"/>
    <w:rsid w:val="005A7E78"/>
    <w:rsid w:val="005B02F9"/>
    <w:rsid w:val="005B0E49"/>
    <w:rsid w:val="005B1F16"/>
    <w:rsid w:val="005B5D7D"/>
    <w:rsid w:val="005B688B"/>
    <w:rsid w:val="005B71B9"/>
    <w:rsid w:val="005C06AF"/>
    <w:rsid w:val="005C0BF8"/>
    <w:rsid w:val="005C20F7"/>
    <w:rsid w:val="005C2ABD"/>
    <w:rsid w:val="005C38A7"/>
    <w:rsid w:val="005C5B4D"/>
    <w:rsid w:val="005C7A1F"/>
    <w:rsid w:val="005D015B"/>
    <w:rsid w:val="005D0AD7"/>
    <w:rsid w:val="005D0C2B"/>
    <w:rsid w:val="005D2DCB"/>
    <w:rsid w:val="005D557F"/>
    <w:rsid w:val="005D7364"/>
    <w:rsid w:val="005D7993"/>
    <w:rsid w:val="005E1A14"/>
    <w:rsid w:val="005E3733"/>
    <w:rsid w:val="005E44C9"/>
    <w:rsid w:val="005E4685"/>
    <w:rsid w:val="005E5BB9"/>
    <w:rsid w:val="005F1266"/>
    <w:rsid w:val="005F16EC"/>
    <w:rsid w:val="005F299E"/>
    <w:rsid w:val="005F481F"/>
    <w:rsid w:val="005F4B25"/>
    <w:rsid w:val="005F4F51"/>
    <w:rsid w:val="005F6069"/>
    <w:rsid w:val="005F60A5"/>
    <w:rsid w:val="005F70F9"/>
    <w:rsid w:val="005F7ACA"/>
    <w:rsid w:val="006001DA"/>
    <w:rsid w:val="00603D1A"/>
    <w:rsid w:val="0060574E"/>
    <w:rsid w:val="00605F23"/>
    <w:rsid w:val="0060667B"/>
    <w:rsid w:val="00606BE4"/>
    <w:rsid w:val="006078EC"/>
    <w:rsid w:val="0061376F"/>
    <w:rsid w:val="00614C21"/>
    <w:rsid w:val="00615983"/>
    <w:rsid w:val="00615F7F"/>
    <w:rsid w:val="00616192"/>
    <w:rsid w:val="00621D6D"/>
    <w:rsid w:val="00623214"/>
    <w:rsid w:val="0062602D"/>
    <w:rsid w:val="0062611B"/>
    <w:rsid w:val="006277EC"/>
    <w:rsid w:val="00635ECA"/>
    <w:rsid w:val="00637FDF"/>
    <w:rsid w:val="00655F61"/>
    <w:rsid w:val="00657BF1"/>
    <w:rsid w:val="00665BAD"/>
    <w:rsid w:val="00665DDD"/>
    <w:rsid w:val="00667586"/>
    <w:rsid w:val="006679E2"/>
    <w:rsid w:val="00670CCF"/>
    <w:rsid w:val="00670E4B"/>
    <w:rsid w:val="0067155A"/>
    <w:rsid w:val="006746C4"/>
    <w:rsid w:val="00676353"/>
    <w:rsid w:val="006771C9"/>
    <w:rsid w:val="00677ABA"/>
    <w:rsid w:val="00683C5E"/>
    <w:rsid w:val="00687A51"/>
    <w:rsid w:val="00690502"/>
    <w:rsid w:val="00691715"/>
    <w:rsid w:val="0069299B"/>
    <w:rsid w:val="006A4C2F"/>
    <w:rsid w:val="006A5C54"/>
    <w:rsid w:val="006A5D76"/>
    <w:rsid w:val="006B2BD2"/>
    <w:rsid w:val="006B5071"/>
    <w:rsid w:val="006B6DA9"/>
    <w:rsid w:val="006C5470"/>
    <w:rsid w:val="006C5AA4"/>
    <w:rsid w:val="006C6D70"/>
    <w:rsid w:val="006C7523"/>
    <w:rsid w:val="006D12EF"/>
    <w:rsid w:val="006D3146"/>
    <w:rsid w:val="006D6598"/>
    <w:rsid w:val="006D6A87"/>
    <w:rsid w:val="006D6D47"/>
    <w:rsid w:val="006E31FA"/>
    <w:rsid w:val="006E3E45"/>
    <w:rsid w:val="006E5AD6"/>
    <w:rsid w:val="006E68E7"/>
    <w:rsid w:val="006F0802"/>
    <w:rsid w:val="006F2FDC"/>
    <w:rsid w:val="006F41DC"/>
    <w:rsid w:val="006F47CA"/>
    <w:rsid w:val="00701FC9"/>
    <w:rsid w:val="00702715"/>
    <w:rsid w:val="007070D1"/>
    <w:rsid w:val="007110EF"/>
    <w:rsid w:val="00714C6D"/>
    <w:rsid w:val="007155C8"/>
    <w:rsid w:val="00716863"/>
    <w:rsid w:val="00717570"/>
    <w:rsid w:val="007178E1"/>
    <w:rsid w:val="00717CC3"/>
    <w:rsid w:val="00721F06"/>
    <w:rsid w:val="00723E77"/>
    <w:rsid w:val="00725C76"/>
    <w:rsid w:val="00726914"/>
    <w:rsid w:val="007300A3"/>
    <w:rsid w:val="007306B8"/>
    <w:rsid w:val="00731236"/>
    <w:rsid w:val="00736373"/>
    <w:rsid w:val="00747E37"/>
    <w:rsid w:val="0075320C"/>
    <w:rsid w:val="007536EF"/>
    <w:rsid w:val="00753BF0"/>
    <w:rsid w:val="00755052"/>
    <w:rsid w:val="00755FC7"/>
    <w:rsid w:val="00760802"/>
    <w:rsid w:val="00760CB0"/>
    <w:rsid w:val="00760DDB"/>
    <w:rsid w:val="007641F3"/>
    <w:rsid w:val="007657D7"/>
    <w:rsid w:val="00765BEA"/>
    <w:rsid w:val="007666DE"/>
    <w:rsid w:val="0077291C"/>
    <w:rsid w:val="007738FD"/>
    <w:rsid w:val="00773A5D"/>
    <w:rsid w:val="0077423B"/>
    <w:rsid w:val="00776CBF"/>
    <w:rsid w:val="00776D95"/>
    <w:rsid w:val="00781919"/>
    <w:rsid w:val="007826F0"/>
    <w:rsid w:val="00785FC5"/>
    <w:rsid w:val="00787BE5"/>
    <w:rsid w:val="00787CDF"/>
    <w:rsid w:val="00791CD7"/>
    <w:rsid w:val="00792E96"/>
    <w:rsid w:val="00793250"/>
    <w:rsid w:val="00794B53"/>
    <w:rsid w:val="007971E4"/>
    <w:rsid w:val="007975A1"/>
    <w:rsid w:val="007A116D"/>
    <w:rsid w:val="007A29EE"/>
    <w:rsid w:val="007A3406"/>
    <w:rsid w:val="007B0654"/>
    <w:rsid w:val="007B10D0"/>
    <w:rsid w:val="007B5B52"/>
    <w:rsid w:val="007B6989"/>
    <w:rsid w:val="007B77F4"/>
    <w:rsid w:val="007C1564"/>
    <w:rsid w:val="007C1C13"/>
    <w:rsid w:val="007C2385"/>
    <w:rsid w:val="007C2E08"/>
    <w:rsid w:val="007C3C51"/>
    <w:rsid w:val="007C456E"/>
    <w:rsid w:val="007C4F92"/>
    <w:rsid w:val="007C64AD"/>
    <w:rsid w:val="007C717F"/>
    <w:rsid w:val="007C7267"/>
    <w:rsid w:val="007D1696"/>
    <w:rsid w:val="007D4874"/>
    <w:rsid w:val="007E04C2"/>
    <w:rsid w:val="007E353E"/>
    <w:rsid w:val="007E3A62"/>
    <w:rsid w:val="007E4448"/>
    <w:rsid w:val="007E4C1C"/>
    <w:rsid w:val="007E513C"/>
    <w:rsid w:val="007E5A9C"/>
    <w:rsid w:val="007F098A"/>
    <w:rsid w:val="007F1A35"/>
    <w:rsid w:val="007F1DB3"/>
    <w:rsid w:val="007F36ED"/>
    <w:rsid w:val="007F6A4A"/>
    <w:rsid w:val="007F7F83"/>
    <w:rsid w:val="00800DC9"/>
    <w:rsid w:val="00802238"/>
    <w:rsid w:val="0080270D"/>
    <w:rsid w:val="00803663"/>
    <w:rsid w:val="0080455C"/>
    <w:rsid w:val="00807C9C"/>
    <w:rsid w:val="00811C64"/>
    <w:rsid w:val="0081445E"/>
    <w:rsid w:val="0081539D"/>
    <w:rsid w:val="00820BBA"/>
    <w:rsid w:val="008236CA"/>
    <w:rsid w:val="00825CEA"/>
    <w:rsid w:val="00826495"/>
    <w:rsid w:val="00826A8E"/>
    <w:rsid w:val="008276AF"/>
    <w:rsid w:val="00827AB4"/>
    <w:rsid w:val="00831D2A"/>
    <w:rsid w:val="008326EE"/>
    <w:rsid w:val="00834843"/>
    <w:rsid w:val="00834E31"/>
    <w:rsid w:val="00835269"/>
    <w:rsid w:val="0083562F"/>
    <w:rsid w:val="00841969"/>
    <w:rsid w:val="0084230F"/>
    <w:rsid w:val="00842F6F"/>
    <w:rsid w:val="00843E6D"/>
    <w:rsid w:val="00844285"/>
    <w:rsid w:val="0084496E"/>
    <w:rsid w:val="00846157"/>
    <w:rsid w:val="00851F7D"/>
    <w:rsid w:val="008535D2"/>
    <w:rsid w:val="0085445A"/>
    <w:rsid w:val="00854624"/>
    <w:rsid w:val="00857565"/>
    <w:rsid w:val="008619A1"/>
    <w:rsid w:val="00861D87"/>
    <w:rsid w:val="0086246D"/>
    <w:rsid w:val="00862904"/>
    <w:rsid w:val="008646B1"/>
    <w:rsid w:val="008660CD"/>
    <w:rsid w:val="00870789"/>
    <w:rsid w:val="0087299F"/>
    <w:rsid w:val="0087426A"/>
    <w:rsid w:val="0087707F"/>
    <w:rsid w:val="00880AE4"/>
    <w:rsid w:val="00881756"/>
    <w:rsid w:val="00882A7A"/>
    <w:rsid w:val="008858B1"/>
    <w:rsid w:val="00886143"/>
    <w:rsid w:val="00886F03"/>
    <w:rsid w:val="00887FD2"/>
    <w:rsid w:val="0089354D"/>
    <w:rsid w:val="00895657"/>
    <w:rsid w:val="008966C9"/>
    <w:rsid w:val="00897A59"/>
    <w:rsid w:val="008A1340"/>
    <w:rsid w:val="008A2A50"/>
    <w:rsid w:val="008A4BAB"/>
    <w:rsid w:val="008A778E"/>
    <w:rsid w:val="008A7EED"/>
    <w:rsid w:val="008B2B7B"/>
    <w:rsid w:val="008B2B8D"/>
    <w:rsid w:val="008B2F36"/>
    <w:rsid w:val="008B54A4"/>
    <w:rsid w:val="008B7D19"/>
    <w:rsid w:val="008C617D"/>
    <w:rsid w:val="008C67B4"/>
    <w:rsid w:val="008C782B"/>
    <w:rsid w:val="008D099A"/>
    <w:rsid w:val="008D13F8"/>
    <w:rsid w:val="008D19E0"/>
    <w:rsid w:val="008D5D69"/>
    <w:rsid w:val="008E05A2"/>
    <w:rsid w:val="008E0F02"/>
    <w:rsid w:val="008E4EE4"/>
    <w:rsid w:val="008E52B4"/>
    <w:rsid w:val="008E61F1"/>
    <w:rsid w:val="008E6C8B"/>
    <w:rsid w:val="008E7641"/>
    <w:rsid w:val="008F141B"/>
    <w:rsid w:val="008F5E85"/>
    <w:rsid w:val="008F70FC"/>
    <w:rsid w:val="009015EF"/>
    <w:rsid w:val="00901DB7"/>
    <w:rsid w:val="00904499"/>
    <w:rsid w:val="00904AA6"/>
    <w:rsid w:val="00906B25"/>
    <w:rsid w:val="00906EE0"/>
    <w:rsid w:val="00907BBB"/>
    <w:rsid w:val="00912E3B"/>
    <w:rsid w:val="00916E16"/>
    <w:rsid w:val="009209D2"/>
    <w:rsid w:val="009235DA"/>
    <w:rsid w:val="00923E08"/>
    <w:rsid w:val="00930118"/>
    <w:rsid w:val="009313F0"/>
    <w:rsid w:val="009325CD"/>
    <w:rsid w:val="00935232"/>
    <w:rsid w:val="009357B9"/>
    <w:rsid w:val="00935BC4"/>
    <w:rsid w:val="00937D34"/>
    <w:rsid w:val="00941F47"/>
    <w:rsid w:val="00941FC0"/>
    <w:rsid w:val="009501A5"/>
    <w:rsid w:val="0095029E"/>
    <w:rsid w:val="00950CAB"/>
    <w:rsid w:val="00951CB7"/>
    <w:rsid w:val="009606F2"/>
    <w:rsid w:val="00962975"/>
    <w:rsid w:val="0096353F"/>
    <w:rsid w:val="00964C6E"/>
    <w:rsid w:val="009666EA"/>
    <w:rsid w:val="00970A22"/>
    <w:rsid w:val="00973D4B"/>
    <w:rsid w:val="00981AB2"/>
    <w:rsid w:val="009835B6"/>
    <w:rsid w:val="0098598E"/>
    <w:rsid w:val="00990149"/>
    <w:rsid w:val="0099104D"/>
    <w:rsid w:val="00995AD5"/>
    <w:rsid w:val="009A2102"/>
    <w:rsid w:val="009A2379"/>
    <w:rsid w:val="009A270A"/>
    <w:rsid w:val="009A376E"/>
    <w:rsid w:val="009A4FD6"/>
    <w:rsid w:val="009A6905"/>
    <w:rsid w:val="009B0D30"/>
    <w:rsid w:val="009B2C76"/>
    <w:rsid w:val="009B47BE"/>
    <w:rsid w:val="009B4AAA"/>
    <w:rsid w:val="009C1E60"/>
    <w:rsid w:val="009C260F"/>
    <w:rsid w:val="009C2B05"/>
    <w:rsid w:val="009C44F2"/>
    <w:rsid w:val="009C5FA5"/>
    <w:rsid w:val="009C62C2"/>
    <w:rsid w:val="009C6DB3"/>
    <w:rsid w:val="009C7472"/>
    <w:rsid w:val="009C79C8"/>
    <w:rsid w:val="009D2EF6"/>
    <w:rsid w:val="009D3960"/>
    <w:rsid w:val="009D6C42"/>
    <w:rsid w:val="009D76F6"/>
    <w:rsid w:val="009D7ECB"/>
    <w:rsid w:val="009E07AF"/>
    <w:rsid w:val="009E1273"/>
    <w:rsid w:val="009E25F3"/>
    <w:rsid w:val="009E2A30"/>
    <w:rsid w:val="009E2B98"/>
    <w:rsid w:val="009E2D5F"/>
    <w:rsid w:val="009E33FD"/>
    <w:rsid w:val="009F2187"/>
    <w:rsid w:val="009F390E"/>
    <w:rsid w:val="009F481A"/>
    <w:rsid w:val="009F491F"/>
    <w:rsid w:val="009F5BBC"/>
    <w:rsid w:val="009F6C56"/>
    <w:rsid w:val="00A005C1"/>
    <w:rsid w:val="00A009D2"/>
    <w:rsid w:val="00A036FE"/>
    <w:rsid w:val="00A044A5"/>
    <w:rsid w:val="00A062B5"/>
    <w:rsid w:val="00A06A12"/>
    <w:rsid w:val="00A1016D"/>
    <w:rsid w:val="00A1184C"/>
    <w:rsid w:val="00A12970"/>
    <w:rsid w:val="00A140A1"/>
    <w:rsid w:val="00A15682"/>
    <w:rsid w:val="00A1634B"/>
    <w:rsid w:val="00A1785C"/>
    <w:rsid w:val="00A21B17"/>
    <w:rsid w:val="00A22E72"/>
    <w:rsid w:val="00A2725A"/>
    <w:rsid w:val="00A3120C"/>
    <w:rsid w:val="00A31C8C"/>
    <w:rsid w:val="00A41C16"/>
    <w:rsid w:val="00A41E3F"/>
    <w:rsid w:val="00A43E5B"/>
    <w:rsid w:val="00A4492E"/>
    <w:rsid w:val="00A44CD1"/>
    <w:rsid w:val="00A4524C"/>
    <w:rsid w:val="00A45CD1"/>
    <w:rsid w:val="00A51BDE"/>
    <w:rsid w:val="00A5669E"/>
    <w:rsid w:val="00A56CAD"/>
    <w:rsid w:val="00A57106"/>
    <w:rsid w:val="00A60435"/>
    <w:rsid w:val="00A61617"/>
    <w:rsid w:val="00A62BD7"/>
    <w:rsid w:val="00A63925"/>
    <w:rsid w:val="00A63EC2"/>
    <w:rsid w:val="00A70DDB"/>
    <w:rsid w:val="00A7144E"/>
    <w:rsid w:val="00A731A8"/>
    <w:rsid w:val="00A73C9D"/>
    <w:rsid w:val="00A767FF"/>
    <w:rsid w:val="00A76892"/>
    <w:rsid w:val="00A769D3"/>
    <w:rsid w:val="00A82845"/>
    <w:rsid w:val="00A82A40"/>
    <w:rsid w:val="00A839D1"/>
    <w:rsid w:val="00A85F9C"/>
    <w:rsid w:val="00A86330"/>
    <w:rsid w:val="00A9167C"/>
    <w:rsid w:val="00A931E3"/>
    <w:rsid w:val="00A94004"/>
    <w:rsid w:val="00A94933"/>
    <w:rsid w:val="00AA246F"/>
    <w:rsid w:val="00AA2866"/>
    <w:rsid w:val="00AA2A90"/>
    <w:rsid w:val="00AA4BD2"/>
    <w:rsid w:val="00AA664D"/>
    <w:rsid w:val="00AB0BBE"/>
    <w:rsid w:val="00AB1E43"/>
    <w:rsid w:val="00AB2665"/>
    <w:rsid w:val="00AB43A7"/>
    <w:rsid w:val="00AB44AD"/>
    <w:rsid w:val="00AB5F14"/>
    <w:rsid w:val="00AB751F"/>
    <w:rsid w:val="00AC05F9"/>
    <w:rsid w:val="00AC0D38"/>
    <w:rsid w:val="00AC1FC5"/>
    <w:rsid w:val="00AC21FE"/>
    <w:rsid w:val="00AC2232"/>
    <w:rsid w:val="00AC3BE8"/>
    <w:rsid w:val="00AC3F30"/>
    <w:rsid w:val="00AC552A"/>
    <w:rsid w:val="00AD03F1"/>
    <w:rsid w:val="00AD0A84"/>
    <w:rsid w:val="00AD13A1"/>
    <w:rsid w:val="00AD16CF"/>
    <w:rsid w:val="00AD2CDE"/>
    <w:rsid w:val="00AD4319"/>
    <w:rsid w:val="00AD5E0C"/>
    <w:rsid w:val="00AE040F"/>
    <w:rsid w:val="00AE0617"/>
    <w:rsid w:val="00AE273B"/>
    <w:rsid w:val="00AE2C1A"/>
    <w:rsid w:val="00AE6E0C"/>
    <w:rsid w:val="00AE7343"/>
    <w:rsid w:val="00AE7E5F"/>
    <w:rsid w:val="00AF0BB1"/>
    <w:rsid w:val="00AF201C"/>
    <w:rsid w:val="00AF3DFF"/>
    <w:rsid w:val="00AF400D"/>
    <w:rsid w:val="00B03B6E"/>
    <w:rsid w:val="00B041B3"/>
    <w:rsid w:val="00B04FC9"/>
    <w:rsid w:val="00B07CFC"/>
    <w:rsid w:val="00B12DBC"/>
    <w:rsid w:val="00B13F4C"/>
    <w:rsid w:val="00B14536"/>
    <w:rsid w:val="00B164E4"/>
    <w:rsid w:val="00B208BA"/>
    <w:rsid w:val="00B2186F"/>
    <w:rsid w:val="00B22B58"/>
    <w:rsid w:val="00B24B44"/>
    <w:rsid w:val="00B2548E"/>
    <w:rsid w:val="00B30803"/>
    <w:rsid w:val="00B31C19"/>
    <w:rsid w:val="00B32E0B"/>
    <w:rsid w:val="00B354E0"/>
    <w:rsid w:val="00B36C5C"/>
    <w:rsid w:val="00B37478"/>
    <w:rsid w:val="00B4028F"/>
    <w:rsid w:val="00B40BFC"/>
    <w:rsid w:val="00B435FB"/>
    <w:rsid w:val="00B44348"/>
    <w:rsid w:val="00B45E8F"/>
    <w:rsid w:val="00B46CB3"/>
    <w:rsid w:val="00B51453"/>
    <w:rsid w:val="00B51554"/>
    <w:rsid w:val="00B51739"/>
    <w:rsid w:val="00B53061"/>
    <w:rsid w:val="00B55C18"/>
    <w:rsid w:val="00B56258"/>
    <w:rsid w:val="00B56B96"/>
    <w:rsid w:val="00B639CB"/>
    <w:rsid w:val="00B64054"/>
    <w:rsid w:val="00B64D2B"/>
    <w:rsid w:val="00B65A74"/>
    <w:rsid w:val="00B65DBF"/>
    <w:rsid w:val="00B70F8B"/>
    <w:rsid w:val="00B71578"/>
    <w:rsid w:val="00B720DF"/>
    <w:rsid w:val="00B7386A"/>
    <w:rsid w:val="00B74502"/>
    <w:rsid w:val="00B76EB7"/>
    <w:rsid w:val="00B771F9"/>
    <w:rsid w:val="00B80736"/>
    <w:rsid w:val="00B81902"/>
    <w:rsid w:val="00B92088"/>
    <w:rsid w:val="00B92EB2"/>
    <w:rsid w:val="00B95D00"/>
    <w:rsid w:val="00B97C70"/>
    <w:rsid w:val="00BA3508"/>
    <w:rsid w:val="00BA4274"/>
    <w:rsid w:val="00BA4B7B"/>
    <w:rsid w:val="00BA55A8"/>
    <w:rsid w:val="00BA7648"/>
    <w:rsid w:val="00BB1214"/>
    <w:rsid w:val="00BC3874"/>
    <w:rsid w:val="00BC41B4"/>
    <w:rsid w:val="00BC5E16"/>
    <w:rsid w:val="00BC6CD4"/>
    <w:rsid w:val="00BC7BC3"/>
    <w:rsid w:val="00BD0960"/>
    <w:rsid w:val="00BD3F6A"/>
    <w:rsid w:val="00BD4BED"/>
    <w:rsid w:val="00BD5610"/>
    <w:rsid w:val="00BE06BE"/>
    <w:rsid w:val="00BE31DE"/>
    <w:rsid w:val="00BE40B8"/>
    <w:rsid w:val="00BF130A"/>
    <w:rsid w:val="00BF185F"/>
    <w:rsid w:val="00BF5FB2"/>
    <w:rsid w:val="00BF7E9A"/>
    <w:rsid w:val="00C00D7C"/>
    <w:rsid w:val="00C0231B"/>
    <w:rsid w:val="00C040A7"/>
    <w:rsid w:val="00C103D4"/>
    <w:rsid w:val="00C10771"/>
    <w:rsid w:val="00C1162E"/>
    <w:rsid w:val="00C13466"/>
    <w:rsid w:val="00C134F4"/>
    <w:rsid w:val="00C148C0"/>
    <w:rsid w:val="00C14E6E"/>
    <w:rsid w:val="00C16782"/>
    <w:rsid w:val="00C261EA"/>
    <w:rsid w:val="00C26401"/>
    <w:rsid w:val="00C3642C"/>
    <w:rsid w:val="00C3671A"/>
    <w:rsid w:val="00C36E3D"/>
    <w:rsid w:val="00C425B0"/>
    <w:rsid w:val="00C42F30"/>
    <w:rsid w:val="00C45E91"/>
    <w:rsid w:val="00C46925"/>
    <w:rsid w:val="00C54773"/>
    <w:rsid w:val="00C558CC"/>
    <w:rsid w:val="00C55FAC"/>
    <w:rsid w:val="00C56AA5"/>
    <w:rsid w:val="00C56C38"/>
    <w:rsid w:val="00C6161E"/>
    <w:rsid w:val="00C63986"/>
    <w:rsid w:val="00C67D60"/>
    <w:rsid w:val="00C70515"/>
    <w:rsid w:val="00C75228"/>
    <w:rsid w:val="00C810F1"/>
    <w:rsid w:val="00C82B0E"/>
    <w:rsid w:val="00C84D6D"/>
    <w:rsid w:val="00C85B97"/>
    <w:rsid w:val="00C85E5E"/>
    <w:rsid w:val="00C86F1B"/>
    <w:rsid w:val="00C9096D"/>
    <w:rsid w:val="00C91BC1"/>
    <w:rsid w:val="00C93767"/>
    <w:rsid w:val="00C942AF"/>
    <w:rsid w:val="00C95930"/>
    <w:rsid w:val="00C96E7C"/>
    <w:rsid w:val="00CA069C"/>
    <w:rsid w:val="00CA0F90"/>
    <w:rsid w:val="00CA1A4C"/>
    <w:rsid w:val="00CA3A76"/>
    <w:rsid w:val="00CB1434"/>
    <w:rsid w:val="00CB38D7"/>
    <w:rsid w:val="00CB6600"/>
    <w:rsid w:val="00CB7762"/>
    <w:rsid w:val="00CC30E1"/>
    <w:rsid w:val="00CC423B"/>
    <w:rsid w:val="00CC56AF"/>
    <w:rsid w:val="00CC58D0"/>
    <w:rsid w:val="00CD225E"/>
    <w:rsid w:val="00CD3768"/>
    <w:rsid w:val="00CD5D9B"/>
    <w:rsid w:val="00CD756F"/>
    <w:rsid w:val="00CE08D4"/>
    <w:rsid w:val="00CE299E"/>
    <w:rsid w:val="00CE310B"/>
    <w:rsid w:val="00CE3B6F"/>
    <w:rsid w:val="00CE6058"/>
    <w:rsid w:val="00CF494E"/>
    <w:rsid w:val="00CF5C81"/>
    <w:rsid w:val="00CF6EF0"/>
    <w:rsid w:val="00D0146F"/>
    <w:rsid w:val="00D016D5"/>
    <w:rsid w:val="00D02743"/>
    <w:rsid w:val="00D0674E"/>
    <w:rsid w:val="00D10242"/>
    <w:rsid w:val="00D11C98"/>
    <w:rsid w:val="00D13E9D"/>
    <w:rsid w:val="00D148F7"/>
    <w:rsid w:val="00D15FA8"/>
    <w:rsid w:val="00D17C6C"/>
    <w:rsid w:val="00D20B4D"/>
    <w:rsid w:val="00D23F94"/>
    <w:rsid w:val="00D246AB"/>
    <w:rsid w:val="00D275F2"/>
    <w:rsid w:val="00D30EAF"/>
    <w:rsid w:val="00D3369E"/>
    <w:rsid w:val="00D34759"/>
    <w:rsid w:val="00D35ACE"/>
    <w:rsid w:val="00D36E94"/>
    <w:rsid w:val="00D41370"/>
    <w:rsid w:val="00D45EE8"/>
    <w:rsid w:val="00D505FA"/>
    <w:rsid w:val="00D508EE"/>
    <w:rsid w:val="00D50A14"/>
    <w:rsid w:val="00D5101F"/>
    <w:rsid w:val="00D5236E"/>
    <w:rsid w:val="00D532E1"/>
    <w:rsid w:val="00D5633E"/>
    <w:rsid w:val="00D57CBE"/>
    <w:rsid w:val="00D64133"/>
    <w:rsid w:val="00D65F8D"/>
    <w:rsid w:val="00D67E81"/>
    <w:rsid w:val="00D71A37"/>
    <w:rsid w:val="00D7317B"/>
    <w:rsid w:val="00D7641E"/>
    <w:rsid w:val="00D816AA"/>
    <w:rsid w:val="00D8236A"/>
    <w:rsid w:val="00D833EA"/>
    <w:rsid w:val="00D83BDC"/>
    <w:rsid w:val="00D851A1"/>
    <w:rsid w:val="00D8597C"/>
    <w:rsid w:val="00D92EF6"/>
    <w:rsid w:val="00D96A6E"/>
    <w:rsid w:val="00DA58E4"/>
    <w:rsid w:val="00DB0523"/>
    <w:rsid w:val="00DB0E66"/>
    <w:rsid w:val="00DB1974"/>
    <w:rsid w:val="00DB2655"/>
    <w:rsid w:val="00DB2B03"/>
    <w:rsid w:val="00DB4F16"/>
    <w:rsid w:val="00DC2653"/>
    <w:rsid w:val="00DC4C2A"/>
    <w:rsid w:val="00DC6996"/>
    <w:rsid w:val="00DC6C13"/>
    <w:rsid w:val="00DD0B99"/>
    <w:rsid w:val="00DD195C"/>
    <w:rsid w:val="00DD426E"/>
    <w:rsid w:val="00DD600D"/>
    <w:rsid w:val="00DD6E72"/>
    <w:rsid w:val="00DD748C"/>
    <w:rsid w:val="00DE2FA0"/>
    <w:rsid w:val="00DE6465"/>
    <w:rsid w:val="00DE6711"/>
    <w:rsid w:val="00DE7108"/>
    <w:rsid w:val="00DF3105"/>
    <w:rsid w:val="00DF3DE4"/>
    <w:rsid w:val="00DF3E87"/>
    <w:rsid w:val="00DF56E4"/>
    <w:rsid w:val="00DF756F"/>
    <w:rsid w:val="00E0036C"/>
    <w:rsid w:val="00E00B2E"/>
    <w:rsid w:val="00E02135"/>
    <w:rsid w:val="00E023DF"/>
    <w:rsid w:val="00E05508"/>
    <w:rsid w:val="00E11F3D"/>
    <w:rsid w:val="00E1428C"/>
    <w:rsid w:val="00E1739C"/>
    <w:rsid w:val="00E23754"/>
    <w:rsid w:val="00E24F24"/>
    <w:rsid w:val="00E32B08"/>
    <w:rsid w:val="00E3344C"/>
    <w:rsid w:val="00E35707"/>
    <w:rsid w:val="00E3580A"/>
    <w:rsid w:val="00E35DD8"/>
    <w:rsid w:val="00E37623"/>
    <w:rsid w:val="00E42F59"/>
    <w:rsid w:val="00E433EB"/>
    <w:rsid w:val="00E4646F"/>
    <w:rsid w:val="00E46AD2"/>
    <w:rsid w:val="00E477EF"/>
    <w:rsid w:val="00E5194C"/>
    <w:rsid w:val="00E5281A"/>
    <w:rsid w:val="00E54D24"/>
    <w:rsid w:val="00E56B57"/>
    <w:rsid w:val="00E60777"/>
    <w:rsid w:val="00E64C57"/>
    <w:rsid w:val="00E7103C"/>
    <w:rsid w:val="00E7232B"/>
    <w:rsid w:val="00E72DEE"/>
    <w:rsid w:val="00E73AB1"/>
    <w:rsid w:val="00E73C3B"/>
    <w:rsid w:val="00E74758"/>
    <w:rsid w:val="00E74F32"/>
    <w:rsid w:val="00E82529"/>
    <w:rsid w:val="00E839E0"/>
    <w:rsid w:val="00E846EF"/>
    <w:rsid w:val="00E849D1"/>
    <w:rsid w:val="00E84B4C"/>
    <w:rsid w:val="00E86621"/>
    <w:rsid w:val="00E86C47"/>
    <w:rsid w:val="00E93AC5"/>
    <w:rsid w:val="00E93B65"/>
    <w:rsid w:val="00E941C3"/>
    <w:rsid w:val="00E9459D"/>
    <w:rsid w:val="00E95B78"/>
    <w:rsid w:val="00E97110"/>
    <w:rsid w:val="00E9798C"/>
    <w:rsid w:val="00EA0B57"/>
    <w:rsid w:val="00EA1035"/>
    <w:rsid w:val="00EA1F98"/>
    <w:rsid w:val="00EA5D83"/>
    <w:rsid w:val="00EB1DC5"/>
    <w:rsid w:val="00EB1F25"/>
    <w:rsid w:val="00EB30C1"/>
    <w:rsid w:val="00EB340B"/>
    <w:rsid w:val="00EB4494"/>
    <w:rsid w:val="00EB5C12"/>
    <w:rsid w:val="00EC014B"/>
    <w:rsid w:val="00EC20A8"/>
    <w:rsid w:val="00EC3F03"/>
    <w:rsid w:val="00EC4DA7"/>
    <w:rsid w:val="00EC6112"/>
    <w:rsid w:val="00EC7446"/>
    <w:rsid w:val="00ED2EED"/>
    <w:rsid w:val="00ED361D"/>
    <w:rsid w:val="00ED3DE7"/>
    <w:rsid w:val="00ED4309"/>
    <w:rsid w:val="00ED6C74"/>
    <w:rsid w:val="00ED7886"/>
    <w:rsid w:val="00ED7CF6"/>
    <w:rsid w:val="00EE0752"/>
    <w:rsid w:val="00EE0BE9"/>
    <w:rsid w:val="00EE142C"/>
    <w:rsid w:val="00EE2198"/>
    <w:rsid w:val="00EE3A0B"/>
    <w:rsid w:val="00EE5ADB"/>
    <w:rsid w:val="00EE627E"/>
    <w:rsid w:val="00EE6917"/>
    <w:rsid w:val="00EE6A66"/>
    <w:rsid w:val="00EF0F24"/>
    <w:rsid w:val="00EF17C7"/>
    <w:rsid w:val="00EF2803"/>
    <w:rsid w:val="00EF32E8"/>
    <w:rsid w:val="00EF6658"/>
    <w:rsid w:val="00F01B5D"/>
    <w:rsid w:val="00F02739"/>
    <w:rsid w:val="00F041BB"/>
    <w:rsid w:val="00F054B0"/>
    <w:rsid w:val="00F11E42"/>
    <w:rsid w:val="00F12347"/>
    <w:rsid w:val="00F13525"/>
    <w:rsid w:val="00F16830"/>
    <w:rsid w:val="00F209DC"/>
    <w:rsid w:val="00F22592"/>
    <w:rsid w:val="00F22858"/>
    <w:rsid w:val="00F24DD9"/>
    <w:rsid w:val="00F2528C"/>
    <w:rsid w:val="00F32735"/>
    <w:rsid w:val="00F33832"/>
    <w:rsid w:val="00F348A6"/>
    <w:rsid w:val="00F36F9F"/>
    <w:rsid w:val="00F424D0"/>
    <w:rsid w:val="00F42EEF"/>
    <w:rsid w:val="00F42EF2"/>
    <w:rsid w:val="00F433FF"/>
    <w:rsid w:val="00F4414C"/>
    <w:rsid w:val="00F442E0"/>
    <w:rsid w:val="00F444BC"/>
    <w:rsid w:val="00F44F9D"/>
    <w:rsid w:val="00F473B3"/>
    <w:rsid w:val="00F50AB2"/>
    <w:rsid w:val="00F51457"/>
    <w:rsid w:val="00F52884"/>
    <w:rsid w:val="00F549CF"/>
    <w:rsid w:val="00F56D41"/>
    <w:rsid w:val="00F57D8B"/>
    <w:rsid w:val="00F602FC"/>
    <w:rsid w:val="00F60EAE"/>
    <w:rsid w:val="00F63670"/>
    <w:rsid w:val="00F64375"/>
    <w:rsid w:val="00F64952"/>
    <w:rsid w:val="00F65276"/>
    <w:rsid w:val="00F65E6C"/>
    <w:rsid w:val="00F721D0"/>
    <w:rsid w:val="00F73F1B"/>
    <w:rsid w:val="00F74152"/>
    <w:rsid w:val="00F742B5"/>
    <w:rsid w:val="00F80CE5"/>
    <w:rsid w:val="00F82C93"/>
    <w:rsid w:val="00F90EAF"/>
    <w:rsid w:val="00F9388E"/>
    <w:rsid w:val="00F94A0B"/>
    <w:rsid w:val="00F95688"/>
    <w:rsid w:val="00F9648D"/>
    <w:rsid w:val="00FA2083"/>
    <w:rsid w:val="00FA22E2"/>
    <w:rsid w:val="00FA335C"/>
    <w:rsid w:val="00FA49B9"/>
    <w:rsid w:val="00FA5344"/>
    <w:rsid w:val="00FB0752"/>
    <w:rsid w:val="00FB157B"/>
    <w:rsid w:val="00FB1E65"/>
    <w:rsid w:val="00FB5B08"/>
    <w:rsid w:val="00FC1FB8"/>
    <w:rsid w:val="00FC3102"/>
    <w:rsid w:val="00FC4C5B"/>
    <w:rsid w:val="00FC64B2"/>
    <w:rsid w:val="00FC688A"/>
    <w:rsid w:val="00FD0A4D"/>
    <w:rsid w:val="00FD1AE3"/>
    <w:rsid w:val="00FD551E"/>
    <w:rsid w:val="00FE1227"/>
    <w:rsid w:val="00FE21A8"/>
    <w:rsid w:val="00FE4859"/>
    <w:rsid w:val="00FE4936"/>
    <w:rsid w:val="00FE5300"/>
    <w:rsid w:val="00FE6E46"/>
    <w:rsid w:val="00FE7FAD"/>
    <w:rsid w:val="00FF3262"/>
    <w:rsid w:val="00FF35AC"/>
    <w:rsid w:val="00FF3F0A"/>
    <w:rsid w:val="00FF6EFF"/>
    <w:rsid w:val="00FF7076"/>
    <w:rsid w:val="01253372"/>
    <w:rsid w:val="012873D3"/>
    <w:rsid w:val="013B2B96"/>
    <w:rsid w:val="01657C13"/>
    <w:rsid w:val="01685AC3"/>
    <w:rsid w:val="016D4D19"/>
    <w:rsid w:val="01874482"/>
    <w:rsid w:val="01A050EF"/>
    <w:rsid w:val="01A26771"/>
    <w:rsid w:val="01B85F94"/>
    <w:rsid w:val="01C7267B"/>
    <w:rsid w:val="01F571E8"/>
    <w:rsid w:val="020016E9"/>
    <w:rsid w:val="023B43AB"/>
    <w:rsid w:val="028C11CF"/>
    <w:rsid w:val="029C7664"/>
    <w:rsid w:val="029D518A"/>
    <w:rsid w:val="02AB3C57"/>
    <w:rsid w:val="02C80F58"/>
    <w:rsid w:val="02F30FA1"/>
    <w:rsid w:val="03200295"/>
    <w:rsid w:val="032B09E8"/>
    <w:rsid w:val="032B6C3A"/>
    <w:rsid w:val="033C49A3"/>
    <w:rsid w:val="0361440A"/>
    <w:rsid w:val="038500F8"/>
    <w:rsid w:val="039F5913"/>
    <w:rsid w:val="03B86720"/>
    <w:rsid w:val="03CF5817"/>
    <w:rsid w:val="03F51722"/>
    <w:rsid w:val="03F82FC0"/>
    <w:rsid w:val="03FD20A3"/>
    <w:rsid w:val="040E6340"/>
    <w:rsid w:val="04105830"/>
    <w:rsid w:val="04163446"/>
    <w:rsid w:val="042042C5"/>
    <w:rsid w:val="04386372"/>
    <w:rsid w:val="043E6631"/>
    <w:rsid w:val="043E70E1"/>
    <w:rsid w:val="044C6E68"/>
    <w:rsid w:val="044F4FDD"/>
    <w:rsid w:val="04610B65"/>
    <w:rsid w:val="046B5540"/>
    <w:rsid w:val="048C54B6"/>
    <w:rsid w:val="0490144A"/>
    <w:rsid w:val="049D5915"/>
    <w:rsid w:val="04BC3FEE"/>
    <w:rsid w:val="04C133B2"/>
    <w:rsid w:val="04D07A99"/>
    <w:rsid w:val="04D23811"/>
    <w:rsid w:val="04DC01EC"/>
    <w:rsid w:val="05524952"/>
    <w:rsid w:val="055406E4"/>
    <w:rsid w:val="05573D16"/>
    <w:rsid w:val="055C54AE"/>
    <w:rsid w:val="0571302A"/>
    <w:rsid w:val="05726DA2"/>
    <w:rsid w:val="057448C8"/>
    <w:rsid w:val="05A607FA"/>
    <w:rsid w:val="05AC4062"/>
    <w:rsid w:val="05CD3FD8"/>
    <w:rsid w:val="05E11832"/>
    <w:rsid w:val="05F17CC7"/>
    <w:rsid w:val="05FD2B10"/>
    <w:rsid w:val="06053772"/>
    <w:rsid w:val="060D55B1"/>
    <w:rsid w:val="061104DA"/>
    <w:rsid w:val="0630152E"/>
    <w:rsid w:val="063127B9"/>
    <w:rsid w:val="063259C0"/>
    <w:rsid w:val="063A78C0"/>
    <w:rsid w:val="064A658A"/>
    <w:rsid w:val="06585F98"/>
    <w:rsid w:val="06654211"/>
    <w:rsid w:val="06696496"/>
    <w:rsid w:val="067601CC"/>
    <w:rsid w:val="069C40D7"/>
    <w:rsid w:val="06A905A2"/>
    <w:rsid w:val="06AC0092"/>
    <w:rsid w:val="06B50CF4"/>
    <w:rsid w:val="06CE5BFE"/>
    <w:rsid w:val="06DA4BFF"/>
    <w:rsid w:val="06DF5D71"/>
    <w:rsid w:val="06F757B1"/>
    <w:rsid w:val="06F832D7"/>
    <w:rsid w:val="06F91383"/>
    <w:rsid w:val="07041C7C"/>
    <w:rsid w:val="07201335"/>
    <w:rsid w:val="07330031"/>
    <w:rsid w:val="073562D9"/>
    <w:rsid w:val="0736379C"/>
    <w:rsid w:val="073A744C"/>
    <w:rsid w:val="077706A0"/>
    <w:rsid w:val="077E02E0"/>
    <w:rsid w:val="078B7CA7"/>
    <w:rsid w:val="07AA0018"/>
    <w:rsid w:val="07C05BA3"/>
    <w:rsid w:val="07CD206E"/>
    <w:rsid w:val="07D37F73"/>
    <w:rsid w:val="07D63618"/>
    <w:rsid w:val="07E51AAD"/>
    <w:rsid w:val="07F27FE4"/>
    <w:rsid w:val="07F4584C"/>
    <w:rsid w:val="07F97307"/>
    <w:rsid w:val="08111BA2"/>
    <w:rsid w:val="08163A15"/>
    <w:rsid w:val="082F0F7A"/>
    <w:rsid w:val="0834033F"/>
    <w:rsid w:val="08411F3B"/>
    <w:rsid w:val="087A387F"/>
    <w:rsid w:val="087B41C0"/>
    <w:rsid w:val="08915791"/>
    <w:rsid w:val="08930128"/>
    <w:rsid w:val="08AE6343"/>
    <w:rsid w:val="08B374B6"/>
    <w:rsid w:val="08BF22FE"/>
    <w:rsid w:val="08ED3758"/>
    <w:rsid w:val="08FA6E92"/>
    <w:rsid w:val="08FD33B5"/>
    <w:rsid w:val="0901533D"/>
    <w:rsid w:val="09045F63"/>
    <w:rsid w:val="090917CB"/>
    <w:rsid w:val="090D12BC"/>
    <w:rsid w:val="090E293E"/>
    <w:rsid w:val="0919027A"/>
    <w:rsid w:val="092C6A50"/>
    <w:rsid w:val="09413606"/>
    <w:rsid w:val="09523172"/>
    <w:rsid w:val="0956695F"/>
    <w:rsid w:val="095742E5"/>
    <w:rsid w:val="09694699"/>
    <w:rsid w:val="09764F58"/>
    <w:rsid w:val="098302EA"/>
    <w:rsid w:val="099472E7"/>
    <w:rsid w:val="099C2A1D"/>
    <w:rsid w:val="09A339CE"/>
    <w:rsid w:val="09C0433B"/>
    <w:rsid w:val="09CA0A04"/>
    <w:rsid w:val="09E55D95"/>
    <w:rsid w:val="09E8138B"/>
    <w:rsid w:val="09FC6C3A"/>
    <w:rsid w:val="0A053D41"/>
    <w:rsid w:val="0A075D0B"/>
    <w:rsid w:val="0A081A83"/>
    <w:rsid w:val="0A0F4207"/>
    <w:rsid w:val="0A140428"/>
    <w:rsid w:val="0A1A0A81"/>
    <w:rsid w:val="0A1F2635"/>
    <w:rsid w:val="0A316D51"/>
    <w:rsid w:val="0A455A91"/>
    <w:rsid w:val="0A4C2D93"/>
    <w:rsid w:val="0A79028B"/>
    <w:rsid w:val="0A856C30"/>
    <w:rsid w:val="0A96708F"/>
    <w:rsid w:val="0AA35E0C"/>
    <w:rsid w:val="0AB6328D"/>
    <w:rsid w:val="0ABA0FCF"/>
    <w:rsid w:val="0AC534D0"/>
    <w:rsid w:val="0AC736EC"/>
    <w:rsid w:val="0AFD0EBC"/>
    <w:rsid w:val="0B071D3B"/>
    <w:rsid w:val="0B0C7351"/>
    <w:rsid w:val="0B3A2110"/>
    <w:rsid w:val="0B723658"/>
    <w:rsid w:val="0B772A1C"/>
    <w:rsid w:val="0B7A250D"/>
    <w:rsid w:val="0B7F7B23"/>
    <w:rsid w:val="0B896BF3"/>
    <w:rsid w:val="0B932773"/>
    <w:rsid w:val="0BAF4FDC"/>
    <w:rsid w:val="0BCF2858"/>
    <w:rsid w:val="0BE60C7E"/>
    <w:rsid w:val="0BF56037"/>
    <w:rsid w:val="0C016970"/>
    <w:rsid w:val="0C030754"/>
    <w:rsid w:val="0C032502"/>
    <w:rsid w:val="0C0A750A"/>
    <w:rsid w:val="0C0D15D3"/>
    <w:rsid w:val="0C3C645E"/>
    <w:rsid w:val="0C4833AB"/>
    <w:rsid w:val="0C4F5747"/>
    <w:rsid w:val="0C624486"/>
    <w:rsid w:val="0C664935"/>
    <w:rsid w:val="0C770FC2"/>
    <w:rsid w:val="0C8C699B"/>
    <w:rsid w:val="0CD143AE"/>
    <w:rsid w:val="0CEC2F96"/>
    <w:rsid w:val="0CFB767D"/>
    <w:rsid w:val="0D004C93"/>
    <w:rsid w:val="0D144DED"/>
    <w:rsid w:val="0D1644B7"/>
    <w:rsid w:val="0D412D22"/>
    <w:rsid w:val="0D4E59FF"/>
    <w:rsid w:val="0D57008A"/>
    <w:rsid w:val="0D6E42F3"/>
    <w:rsid w:val="0D75742F"/>
    <w:rsid w:val="0D79480C"/>
    <w:rsid w:val="0D964396"/>
    <w:rsid w:val="0DA56F93"/>
    <w:rsid w:val="0DA64D24"/>
    <w:rsid w:val="0DD26BAF"/>
    <w:rsid w:val="0DE3083D"/>
    <w:rsid w:val="0DE40111"/>
    <w:rsid w:val="0DF72EED"/>
    <w:rsid w:val="0DF76096"/>
    <w:rsid w:val="0DFA55F3"/>
    <w:rsid w:val="0E0407B3"/>
    <w:rsid w:val="0E146C48"/>
    <w:rsid w:val="0E1C5B6C"/>
    <w:rsid w:val="0E26647A"/>
    <w:rsid w:val="0E2A1FC8"/>
    <w:rsid w:val="0E364E11"/>
    <w:rsid w:val="0E5057A7"/>
    <w:rsid w:val="0E5C2EA3"/>
    <w:rsid w:val="0E6B25E0"/>
    <w:rsid w:val="0E7E1C83"/>
    <w:rsid w:val="0E87566C"/>
    <w:rsid w:val="0E9028C2"/>
    <w:rsid w:val="0EB16245"/>
    <w:rsid w:val="0EBB3483"/>
    <w:rsid w:val="0ECA2D0F"/>
    <w:rsid w:val="0ECC12D1"/>
    <w:rsid w:val="0ED65CAC"/>
    <w:rsid w:val="0EDA2E2B"/>
    <w:rsid w:val="0EDD6CB8"/>
    <w:rsid w:val="0EF83E74"/>
    <w:rsid w:val="0F046C72"/>
    <w:rsid w:val="0F16254C"/>
    <w:rsid w:val="0F2A24A8"/>
    <w:rsid w:val="0F3550C8"/>
    <w:rsid w:val="0F384BB8"/>
    <w:rsid w:val="0F3E448E"/>
    <w:rsid w:val="0F3F7CF5"/>
    <w:rsid w:val="0F4F5A5E"/>
    <w:rsid w:val="0F7D6A6F"/>
    <w:rsid w:val="0FCD2DB1"/>
    <w:rsid w:val="0FD03043"/>
    <w:rsid w:val="10417A9D"/>
    <w:rsid w:val="104B628C"/>
    <w:rsid w:val="10861954"/>
    <w:rsid w:val="108A1444"/>
    <w:rsid w:val="10910A33"/>
    <w:rsid w:val="10A25187"/>
    <w:rsid w:val="10DE709A"/>
    <w:rsid w:val="10E36DA6"/>
    <w:rsid w:val="10EC17B7"/>
    <w:rsid w:val="10F76241"/>
    <w:rsid w:val="1102722C"/>
    <w:rsid w:val="1109798D"/>
    <w:rsid w:val="1111121D"/>
    <w:rsid w:val="111D7BC2"/>
    <w:rsid w:val="112A22DF"/>
    <w:rsid w:val="112F78F5"/>
    <w:rsid w:val="11336AB2"/>
    <w:rsid w:val="1134315E"/>
    <w:rsid w:val="11357601"/>
    <w:rsid w:val="113E5D8A"/>
    <w:rsid w:val="11567578"/>
    <w:rsid w:val="115D4462"/>
    <w:rsid w:val="116C0B49"/>
    <w:rsid w:val="11906397"/>
    <w:rsid w:val="11C24C0D"/>
    <w:rsid w:val="11CE5105"/>
    <w:rsid w:val="11DB2975"/>
    <w:rsid w:val="11DD37F5"/>
    <w:rsid w:val="120945EA"/>
    <w:rsid w:val="120D40DA"/>
    <w:rsid w:val="121420F8"/>
    <w:rsid w:val="124E024F"/>
    <w:rsid w:val="125F245C"/>
    <w:rsid w:val="1272218F"/>
    <w:rsid w:val="1286241A"/>
    <w:rsid w:val="129465AA"/>
    <w:rsid w:val="12A06CFD"/>
    <w:rsid w:val="12A52565"/>
    <w:rsid w:val="12C56763"/>
    <w:rsid w:val="12C62AEB"/>
    <w:rsid w:val="12CF6289"/>
    <w:rsid w:val="12D544CC"/>
    <w:rsid w:val="12DB5F87"/>
    <w:rsid w:val="12FA67BA"/>
    <w:rsid w:val="13385187"/>
    <w:rsid w:val="13525B1D"/>
    <w:rsid w:val="13715411"/>
    <w:rsid w:val="13745331"/>
    <w:rsid w:val="1396658B"/>
    <w:rsid w:val="13B34A16"/>
    <w:rsid w:val="13BB1914"/>
    <w:rsid w:val="13CE1647"/>
    <w:rsid w:val="13E470BD"/>
    <w:rsid w:val="13E72709"/>
    <w:rsid w:val="1403360A"/>
    <w:rsid w:val="142011A6"/>
    <w:rsid w:val="142D6BB0"/>
    <w:rsid w:val="14382F65"/>
    <w:rsid w:val="14522278"/>
    <w:rsid w:val="14741B75"/>
    <w:rsid w:val="14812B5E"/>
    <w:rsid w:val="14C667C2"/>
    <w:rsid w:val="150A2B53"/>
    <w:rsid w:val="151B6B0E"/>
    <w:rsid w:val="152E26B7"/>
    <w:rsid w:val="153C0833"/>
    <w:rsid w:val="155838BF"/>
    <w:rsid w:val="15724254"/>
    <w:rsid w:val="1582093B"/>
    <w:rsid w:val="15965C16"/>
    <w:rsid w:val="15B036FB"/>
    <w:rsid w:val="15B11221"/>
    <w:rsid w:val="15B41657"/>
    <w:rsid w:val="15BE4BFB"/>
    <w:rsid w:val="15D62A35"/>
    <w:rsid w:val="15EF1A10"/>
    <w:rsid w:val="15F503B9"/>
    <w:rsid w:val="15FA2BC8"/>
    <w:rsid w:val="15FD7FC2"/>
    <w:rsid w:val="16077093"/>
    <w:rsid w:val="16111CBF"/>
    <w:rsid w:val="16277A0B"/>
    <w:rsid w:val="16377978"/>
    <w:rsid w:val="165C118C"/>
    <w:rsid w:val="16610551"/>
    <w:rsid w:val="168129A1"/>
    <w:rsid w:val="16852D6C"/>
    <w:rsid w:val="169D47E0"/>
    <w:rsid w:val="169F376F"/>
    <w:rsid w:val="16B805E4"/>
    <w:rsid w:val="16C3745D"/>
    <w:rsid w:val="16DA0303"/>
    <w:rsid w:val="16DC051F"/>
    <w:rsid w:val="16E80C72"/>
    <w:rsid w:val="16E96798"/>
    <w:rsid w:val="16EF2083"/>
    <w:rsid w:val="16F2389F"/>
    <w:rsid w:val="1706559C"/>
    <w:rsid w:val="171E71A9"/>
    <w:rsid w:val="1724245F"/>
    <w:rsid w:val="17712A16"/>
    <w:rsid w:val="17771FF6"/>
    <w:rsid w:val="17AD3CD2"/>
    <w:rsid w:val="17B15508"/>
    <w:rsid w:val="17B24919"/>
    <w:rsid w:val="17B4010F"/>
    <w:rsid w:val="17B4163D"/>
    <w:rsid w:val="17B84AE8"/>
    <w:rsid w:val="17B87A14"/>
    <w:rsid w:val="17EE17E4"/>
    <w:rsid w:val="17F11324"/>
    <w:rsid w:val="17F3167D"/>
    <w:rsid w:val="17F84EE5"/>
    <w:rsid w:val="17F96C3D"/>
    <w:rsid w:val="18194E5B"/>
    <w:rsid w:val="183028D1"/>
    <w:rsid w:val="184620F4"/>
    <w:rsid w:val="185D743E"/>
    <w:rsid w:val="188A386F"/>
    <w:rsid w:val="189C7F66"/>
    <w:rsid w:val="18A256A4"/>
    <w:rsid w:val="18A92683"/>
    <w:rsid w:val="18AF29F3"/>
    <w:rsid w:val="18E35B95"/>
    <w:rsid w:val="18E7501B"/>
    <w:rsid w:val="19137AFC"/>
    <w:rsid w:val="19324427"/>
    <w:rsid w:val="193463F1"/>
    <w:rsid w:val="193C52A5"/>
    <w:rsid w:val="1954439D"/>
    <w:rsid w:val="195E16BF"/>
    <w:rsid w:val="1964585D"/>
    <w:rsid w:val="19687E48"/>
    <w:rsid w:val="196C5B8A"/>
    <w:rsid w:val="198804EA"/>
    <w:rsid w:val="19921369"/>
    <w:rsid w:val="19AA0461"/>
    <w:rsid w:val="19C0693E"/>
    <w:rsid w:val="19CF1C75"/>
    <w:rsid w:val="1A1B4EBB"/>
    <w:rsid w:val="1A2755E6"/>
    <w:rsid w:val="1A3E457D"/>
    <w:rsid w:val="1A450189"/>
    <w:rsid w:val="1A473F02"/>
    <w:rsid w:val="1A5A3B58"/>
    <w:rsid w:val="1A6E5932"/>
    <w:rsid w:val="1A8769F4"/>
    <w:rsid w:val="1AB01AA7"/>
    <w:rsid w:val="1AE94FB9"/>
    <w:rsid w:val="1AF916A0"/>
    <w:rsid w:val="1B140288"/>
    <w:rsid w:val="1B1E1106"/>
    <w:rsid w:val="1B3501FE"/>
    <w:rsid w:val="1B3A3A66"/>
    <w:rsid w:val="1B3C333B"/>
    <w:rsid w:val="1B6E4850"/>
    <w:rsid w:val="1B7449F1"/>
    <w:rsid w:val="1B852FB6"/>
    <w:rsid w:val="1B886580"/>
    <w:rsid w:val="1B8F4D8F"/>
    <w:rsid w:val="1BCF41AF"/>
    <w:rsid w:val="1BDE43F2"/>
    <w:rsid w:val="1BE55780"/>
    <w:rsid w:val="1BEF7EF1"/>
    <w:rsid w:val="1BF400B9"/>
    <w:rsid w:val="1BF959EC"/>
    <w:rsid w:val="1C0F63DB"/>
    <w:rsid w:val="1C281B11"/>
    <w:rsid w:val="1C964CCC"/>
    <w:rsid w:val="1CA1494D"/>
    <w:rsid w:val="1CA23671"/>
    <w:rsid w:val="1CB11B06"/>
    <w:rsid w:val="1CCF7C94"/>
    <w:rsid w:val="1CD31A7D"/>
    <w:rsid w:val="1CD852E5"/>
    <w:rsid w:val="1D022859"/>
    <w:rsid w:val="1D181B85"/>
    <w:rsid w:val="1D1F1166"/>
    <w:rsid w:val="1D214EDE"/>
    <w:rsid w:val="1D2C7747"/>
    <w:rsid w:val="1D2D5631"/>
    <w:rsid w:val="1D2F4447"/>
    <w:rsid w:val="1D3502B9"/>
    <w:rsid w:val="1D3665AF"/>
    <w:rsid w:val="1DA13929"/>
    <w:rsid w:val="1DB23D88"/>
    <w:rsid w:val="1DB7314C"/>
    <w:rsid w:val="1DD33597"/>
    <w:rsid w:val="1DEB1048"/>
    <w:rsid w:val="1DFB128B"/>
    <w:rsid w:val="1E085CE5"/>
    <w:rsid w:val="1E097B16"/>
    <w:rsid w:val="1E1265D5"/>
    <w:rsid w:val="1E1D5C96"/>
    <w:rsid w:val="1E1E141D"/>
    <w:rsid w:val="1E2A7DC2"/>
    <w:rsid w:val="1E2B7FD1"/>
    <w:rsid w:val="1E4C7D38"/>
    <w:rsid w:val="1E5361F0"/>
    <w:rsid w:val="1E636E30"/>
    <w:rsid w:val="1E713795"/>
    <w:rsid w:val="1E805C34"/>
    <w:rsid w:val="1E911BEF"/>
    <w:rsid w:val="1EBD0C36"/>
    <w:rsid w:val="1EE75CB3"/>
    <w:rsid w:val="1F166433"/>
    <w:rsid w:val="1F1840BF"/>
    <w:rsid w:val="1F226CEB"/>
    <w:rsid w:val="1F2B5BA0"/>
    <w:rsid w:val="1F2C1918"/>
    <w:rsid w:val="1F5844BB"/>
    <w:rsid w:val="1F5C044F"/>
    <w:rsid w:val="1F5F6ADA"/>
    <w:rsid w:val="1F7E4C34"/>
    <w:rsid w:val="1F900CE6"/>
    <w:rsid w:val="1F9C4CF0"/>
    <w:rsid w:val="1FA15E62"/>
    <w:rsid w:val="1FAD4807"/>
    <w:rsid w:val="1FB45B95"/>
    <w:rsid w:val="1FCA53B9"/>
    <w:rsid w:val="1FFB1A16"/>
    <w:rsid w:val="200D14A4"/>
    <w:rsid w:val="202D5948"/>
    <w:rsid w:val="20452C91"/>
    <w:rsid w:val="204D7D98"/>
    <w:rsid w:val="206A4BDE"/>
    <w:rsid w:val="209D2ACD"/>
    <w:rsid w:val="20E406FC"/>
    <w:rsid w:val="20EE6FC1"/>
    <w:rsid w:val="21366A7E"/>
    <w:rsid w:val="214E201A"/>
    <w:rsid w:val="21507EF7"/>
    <w:rsid w:val="215238B8"/>
    <w:rsid w:val="21606878"/>
    <w:rsid w:val="216872BC"/>
    <w:rsid w:val="216C24A0"/>
    <w:rsid w:val="219C2D85"/>
    <w:rsid w:val="21A67760"/>
    <w:rsid w:val="21A97250"/>
    <w:rsid w:val="21AE2216"/>
    <w:rsid w:val="21D30922"/>
    <w:rsid w:val="21D7077E"/>
    <w:rsid w:val="21DE4507"/>
    <w:rsid w:val="21F030D1"/>
    <w:rsid w:val="21FF50C2"/>
    <w:rsid w:val="22027AEB"/>
    <w:rsid w:val="2208386E"/>
    <w:rsid w:val="22154ED4"/>
    <w:rsid w:val="22235254"/>
    <w:rsid w:val="222B4109"/>
    <w:rsid w:val="222E79A9"/>
    <w:rsid w:val="22501B85"/>
    <w:rsid w:val="22574EFE"/>
    <w:rsid w:val="227635D6"/>
    <w:rsid w:val="227F2EFF"/>
    <w:rsid w:val="22802924"/>
    <w:rsid w:val="22883832"/>
    <w:rsid w:val="22B365D8"/>
    <w:rsid w:val="22BE4F7D"/>
    <w:rsid w:val="22CF718A"/>
    <w:rsid w:val="22D60519"/>
    <w:rsid w:val="22DA1DB7"/>
    <w:rsid w:val="22E64DC1"/>
    <w:rsid w:val="22EE5862"/>
    <w:rsid w:val="23005595"/>
    <w:rsid w:val="230C5CE8"/>
    <w:rsid w:val="23614286"/>
    <w:rsid w:val="2376267A"/>
    <w:rsid w:val="2392443F"/>
    <w:rsid w:val="239301B8"/>
    <w:rsid w:val="23945DF5"/>
    <w:rsid w:val="23A42D0F"/>
    <w:rsid w:val="23A52A71"/>
    <w:rsid w:val="23AE470B"/>
    <w:rsid w:val="23B1063E"/>
    <w:rsid w:val="23D6310F"/>
    <w:rsid w:val="23EB7FF4"/>
    <w:rsid w:val="23F8727F"/>
    <w:rsid w:val="23FC7B0B"/>
    <w:rsid w:val="24062928"/>
    <w:rsid w:val="240E783E"/>
    <w:rsid w:val="243C475C"/>
    <w:rsid w:val="24457704"/>
    <w:rsid w:val="24462A2D"/>
    <w:rsid w:val="246A716A"/>
    <w:rsid w:val="247327B6"/>
    <w:rsid w:val="247E01CD"/>
    <w:rsid w:val="24877D1C"/>
    <w:rsid w:val="248A15BB"/>
    <w:rsid w:val="24926C52"/>
    <w:rsid w:val="24A3442A"/>
    <w:rsid w:val="24A65CC9"/>
    <w:rsid w:val="24B32636"/>
    <w:rsid w:val="24D64800"/>
    <w:rsid w:val="24F5112A"/>
    <w:rsid w:val="252235A1"/>
    <w:rsid w:val="25407ECB"/>
    <w:rsid w:val="255D0A7D"/>
    <w:rsid w:val="257D2ECD"/>
    <w:rsid w:val="25853B30"/>
    <w:rsid w:val="259721E1"/>
    <w:rsid w:val="25A466AC"/>
    <w:rsid w:val="25A77F4A"/>
    <w:rsid w:val="25BC39F6"/>
    <w:rsid w:val="25C46BF1"/>
    <w:rsid w:val="25E116AE"/>
    <w:rsid w:val="25EB42DB"/>
    <w:rsid w:val="25FF1B34"/>
    <w:rsid w:val="261F3F85"/>
    <w:rsid w:val="262D176D"/>
    <w:rsid w:val="263B7010"/>
    <w:rsid w:val="263F0183"/>
    <w:rsid w:val="26467763"/>
    <w:rsid w:val="26484C80"/>
    <w:rsid w:val="2654320B"/>
    <w:rsid w:val="26722306"/>
    <w:rsid w:val="26804A23"/>
    <w:rsid w:val="2685203A"/>
    <w:rsid w:val="26904854"/>
    <w:rsid w:val="26906C30"/>
    <w:rsid w:val="269A360B"/>
    <w:rsid w:val="26AD1590"/>
    <w:rsid w:val="26B36D0C"/>
    <w:rsid w:val="26B7240F"/>
    <w:rsid w:val="26C70FC3"/>
    <w:rsid w:val="26CB1A16"/>
    <w:rsid w:val="26D7660D"/>
    <w:rsid w:val="26DB434F"/>
    <w:rsid w:val="26EA6341"/>
    <w:rsid w:val="26F4129F"/>
    <w:rsid w:val="27010C44"/>
    <w:rsid w:val="270C4509"/>
    <w:rsid w:val="272555CB"/>
    <w:rsid w:val="272F3A51"/>
    <w:rsid w:val="27337D5D"/>
    <w:rsid w:val="276A7D1D"/>
    <w:rsid w:val="276F41FD"/>
    <w:rsid w:val="27814EF7"/>
    <w:rsid w:val="278D7AAA"/>
    <w:rsid w:val="27B32BD6"/>
    <w:rsid w:val="27BA1B55"/>
    <w:rsid w:val="27BB051C"/>
    <w:rsid w:val="27C6290A"/>
    <w:rsid w:val="27F05BD9"/>
    <w:rsid w:val="27F54F9D"/>
    <w:rsid w:val="2810627B"/>
    <w:rsid w:val="28177609"/>
    <w:rsid w:val="2830587D"/>
    <w:rsid w:val="283C2BCC"/>
    <w:rsid w:val="283D06F2"/>
    <w:rsid w:val="283F26BC"/>
    <w:rsid w:val="284876DD"/>
    <w:rsid w:val="287B4907"/>
    <w:rsid w:val="28A569C3"/>
    <w:rsid w:val="28AA222B"/>
    <w:rsid w:val="28B9246E"/>
    <w:rsid w:val="28BF3C6F"/>
    <w:rsid w:val="28E6101D"/>
    <w:rsid w:val="28E76FDC"/>
    <w:rsid w:val="28ED2118"/>
    <w:rsid w:val="28F25980"/>
    <w:rsid w:val="290F02E0"/>
    <w:rsid w:val="291B6C85"/>
    <w:rsid w:val="29362D86"/>
    <w:rsid w:val="295175B8"/>
    <w:rsid w:val="297665B1"/>
    <w:rsid w:val="298F4F7D"/>
    <w:rsid w:val="299963A2"/>
    <w:rsid w:val="299E3412"/>
    <w:rsid w:val="29B5793D"/>
    <w:rsid w:val="29EC0622"/>
    <w:rsid w:val="2A154AD8"/>
    <w:rsid w:val="2A22427F"/>
    <w:rsid w:val="2A36061B"/>
    <w:rsid w:val="2A3A75DF"/>
    <w:rsid w:val="2A4E3D69"/>
    <w:rsid w:val="2A5734B2"/>
    <w:rsid w:val="2A697EC4"/>
    <w:rsid w:val="2A7B5F86"/>
    <w:rsid w:val="2AA93F6C"/>
    <w:rsid w:val="2AB949A8"/>
    <w:rsid w:val="2B1020EE"/>
    <w:rsid w:val="2B2B6F28"/>
    <w:rsid w:val="2B33003E"/>
    <w:rsid w:val="2B4D6E9E"/>
    <w:rsid w:val="2B5F21E3"/>
    <w:rsid w:val="2B620B9B"/>
    <w:rsid w:val="2B681F2A"/>
    <w:rsid w:val="2B816446"/>
    <w:rsid w:val="2B8F74B6"/>
    <w:rsid w:val="2BAE36BF"/>
    <w:rsid w:val="2BF437BD"/>
    <w:rsid w:val="2C102611"/>
    <w:rsid w:val="2C29369E"/>
    <w:rsid w:val="2C35005E"/>
    <w:rsid w:val="2C3818FC"/>
    <w:rsid w:val="2C426C47"/>
    <w:rsid w:val="2C536736"/>
    <w:rsid w:val="2C583D4C"/>
    <w:rsid w:val="2C620DE5"/>
    <w:rsid w:val="2C7566AC"/>
    <w:rsid w:val="2C7C7A3B"/>
    <w:rsid w:val="2C882884"/>
    <w:rsid w:val="2CB74F17"/>
    <w:rsid w:val="2CB76CC5"/>
    <w:rsid w:val="2CC969F8"/>
    <w:rsid w:val="2D142369"/>
    <w:rsid w:val="2D1934DC"/>
    <w:rsid w:val="2D1E0AF2"/>
    <w:rsid w:val="2D340315"/>
    <w:rsid w:val="2D355E3C"/>
    <w:rsid w:val="2D452523"/>
    <w:rsid w:val="2D5A3770"/>
    <w:rsid w:val="2D5C786C"/>
    <w:rsid w:val="2D5E5392"/>
    <w:rsid w:val="2D636E4D"/>
    <w:rsid w:val="2D776454"/>
    <w:rsid w:val="2D9214E0"/>
    <w:rsid w:val="2D9B65E7"/>
    <w:rsid w:val="2DA32941"/>
    <w:rsid w:val="2DB476A8"/>
    <w:rsid w:val="2DBB0A37"/>
    <w:rsid w:val="2DC14C40"/>
    <w:rsid w:val="2E0A3A43"/>
    <w:rsid w:val="2E1D6034"/>
    <w:rsid w:val="2E334A71"/>
    <w:rsid w:val="2E383E35"/>
    <w:rsid w:val="2E41718E"/>
    <w:rsid w:val="2E4A46A0"/>
    <w:rsid w:val="2E516CA5"/>
    <w:rsid w:val="2E6609A2"/>
    <w:rsid w:val="2E921798"/>
    <w:rsid w:val="2EA94D33"/>
    <w:rsid w:val="2ECE02F6"/>
    <w:rsid w:val="2EF72DA2"/>
    <w:rsid w:val="2F240817"/>
    <w:rsid w:val="2F2A2AC9"/>
    <w:rsid w:val="2F3515C3"/>
    <w:rsid w:val="2F381AC1"/>
    <w:rsid w:val="2F4862FA"/>
    <w:rsid w:val="2F762E67"/>
    <w:rsid w:val="2F792957"/>
    <w:rsid w:val="2FC75471"/>
    <w:rsid w:val="2FD716C1"/>
    <w:rsid w:val="2FE670EA"/>
    <w:rsid w:val="302F1268"/>
    <w:rsid w:val="30441E78"/>
    <w:rsid w:val="30656A38"/>
    <w:rsid w:val="30766E97"/>
    <w:rsid w:val="307B625B"/>
    <w:rsid w:val="30801AC4"/>
    <w:rsid w:val="308139C6"/>
    <w:rsid w:val="30861CF0"/>
    <w:rsid w:val="309C2D5D"/>
    <w:rsid w:val="30BB15D4"/>
    <w:rsid w:val="30E81C16"/>
    <w:rsid w:val="30E958BB"/>
    <w:rsid w:val="30EE2D43"/>
    <w:rsid w:val="30F57DBC"/>
    <w:rsid w:val="30F77FD8"/>
    <w:rsid w:val="310444A3"/>
    <w:rsid w:val="311741D6"/>
    <w:rsid w:val="312406A1"/>
    <w:rsid w:val="315076E8"/>
    <w:rsid w:val="31572824"/>
    <w:rsid w:val="315D22F7"/>
    <w:rsid w:val="31605B7D"/>
    <w:rsid w:val="316C0D35"/>
    <w:rsid w:val="317407C0"/>
    <w:rsid w:val="31903F88"/>
    <w:rsid w:val="319475D5"/>
    <w:rsid w:val="319A603B"/>
    <w:rsid w:val="31DD7149"/>
    <w:rsid w:val="31DE706E"/>
    <w:rsid w:val="31E0281A"/>
    <w:rsid w:val="31FD7870"/>
    <w:rsid w:val="320A5AE9"/>
    <w:rsid w:val="32116E77"/>
    <w:rsid w:val="322841C1"/>
    <w:rsid w:val="32285F6F"/>
    <w:rsid w:val="32345EF8"/>
    <w:rsid w:val="323808A8"/>
    <w:rsid w:val="324803BF"/>
    <w:rsid w:val="324E3C27"/>
    <w:rsid w:val="32700042"/>
    <w:rsid w:val="327A2C6E"/>
    <w:rsid w:val="327D7604"/>
    <w:rsid w:val="3291620A"/>
    <w:rsid w:val="329D070B"/>
    <w:rsid w:val="329F4EC8"/>
    <w:rsid w:val="32A61CB5"/>
    <w:rsid w:val="32B3311C"/>
    <w:rsid w:val="32C37B36"/>
    <w:rsid w:val="32C739DA"/>
    <w:rsid w:val="32CC7242"/>
    <w:rsid w:val="32DD055B"/>
    <w:rsid w:val="331F7372"/>
    <w:rsid w:val="3333382D"/>
    <w:rsid w:val="3337290D"/>
    <w:rsid w:val="3341317D"/>
    <w:rsid w:val="33437504"/>
    <w:rsid w:val="334D2131"/>
    <w:rsid w:val="335D4E99"/>
    <w:rsid w:val="336D27D3"/>
    <w:rsid w:val="33743B62"/>
    <w:rsid w:val="33747F4D"/>
    <w:rsid w:val="33955886"/>
    <w:rsid w:val="33DF6B01"/>
    <w:rsid w:val="33EC3069"/>
    <w:rsid w:val="33FD604E"/>
    <w:rsid w:val="34012F1B"/>
    <w:rsid w:val="34310867"/>
    <w:rsid w:val="343D03F7"/>
    <w:rsid w:val="343E5F1E"/>
    <w:rsid w:val="34403A44"/>
    <w:rsid w:val="3465569B"/>
    <w:rsid w:val="349873DC"/>
    <w:rsid w:val="349D49F2"/>
    <w:rsid w:val="34A55F9D"/>
    <w:rsid w:val="34B561E0"/>
    <w:rsid w:val="34C7361A"/>
    <w:rsid w:val="34C96D36"/>
    <w:rsid w:val="34CD693B"/>
    <w:rsid w:val="34D523DE"/>
    <w:rsid w:val="34F27D17"/>
    <w:rsid w:val="34FD7B87"/>
    <w:rsid w:val="3522139B"/>
    <w:rsid w:val="35380BBF"/>
    <w:rsid w:val="355A6D87"/>
    <w:rsid w:val="357E0CC8"/>
    <w:rsid w:val="35902189"/>
    <w:rsid w:val="35B66451"/>
    <w:rsid w:val="35C033A4"/>
    <w:rsid w:val="35CB1A33"/>
    <w:rsid w:val="35DF03B2"/>
    <w:rsid w:val="35E0728C"/>
    <w:rsid w:val="35EA1EB9"/>
    <w:rsid w:val="35EF127D"/>
    <w:rsid w:val="35EF6CDC"/>
    <w:rsid w:val="360311CD"/>
    <w:rsid w:val="36080591"/>
    <w:rsid w:val="361C5DEB"/>
    <w:rsid w:val="36631C6B"/>
    <w:rsid w:val="3663455E"/>
    <w:rsid w:val="36657792"/>
    <w:rsid w:val="36674EB4"/>
    <w:rsid w:val="36897924"/>
    <w:rsid w:val="36D52B69"/>
    <w:rsid w:val="37092813"/>
    <w:rsid w:val="37280DED"/>
    <w:rsid w:val="37296A11"/>
    <w:rsid w:val="372B4B9D"/>
    <w:rsid w:val="373553B6"/>
    <w:rsid w:val="37441A9D"/>
    <w:rsid w:val="37461371"/>
    <w:rsid w:val="376A4579"/>
    <w:rsid w:val="37746E52"/>
    <w:rsid w:val="37A60062"/>
    <w:rsid w:val="37B11547"/>
    <w:rsid w:val="37B26A07"/>
    <w:rsid w:val="37BA44D7"/>
    <w:rsid w:val="37FC4126"/>
    <w:rsid w:val="38037262"/>
    <w:rsid w:val="3809239F"/>
    <w:rsid w:val="38194CD8"/>
    <w:rsid w:val="38262F51"/>
    <w:rsid w:val="38284F1B"/>
    <w:rsid w:val="384C6E5B"/>
    <w:rsid w:val="38521F98"/>
    <w:rsid w:val="386C3059"/>
    <w:rsid w:val="387D5266"/>
    <w:rsid w:val="387E2B20"/>
    <w:rsid w:val="388E7474"/>
    <w:rsid w:val="389205E6"/>
    <w:rsid w:val="389425B0"/>
    <w:rsid w:val="38C221A1"/>
    <w:rsid w:val="38C34C43"/>
    <w:rsid w:val="38C369F1"/>
    <w:rsid w:val="38CA6556"/>
    <w:rsid w:val="38D46E50"/>
    <w:rsid w:val="39682C3F"/>
    <w:rsid w:val="39846181"/>
    <w:rsid w:val="398B7F95"/>
    <w:rsid w:val="39A14F85"/>
    <w:rsid w:val="39A93E39"/>
    <w:rsid w:val="39AF7919"/>
    <w:rsid w:val="39CE38A0"/>
    <w:rsid w:val="39F14EF2"/>
    <w:rsid w:val="3A137505"/>
    <w:rsid w:val="3A145757"/>
    <w:rsid w:val="3A1F1228"/>
    <w:rsid w:val="3A345DF9"/>
    <w:rsid w:val="3A59760D"/>
    <w:rsid w:val="3A990BD3"/>
    <w:rsid w:val="3AB24F6F"/>
    <w:rsid w:val="3AD257FB"/>
    <w:rsid w:val="3ADD1FEC"/>
    <w:rsid w:val="3B0A4DAB"/>
    <w:rsid w:val="3B0C4680"/>
    <w:rsid w:val="3B117EE8"/>
    <w:rsid w:val="3B133C60"/>
    <w:rsid w:val="3B1A3241"/>
    <w:rsid w:val="3B20692C"/>
    <w:rsid w:val="3B295232"/>
    <w:rsid w:val="3B673FAC"/>
    <w:rsid w:val="3B6F4C0F"/>
    <w:rsid w:val="3B765F9D"/>
    <w:rsid w:val="3B787F67"/>
    <w:rsid w:val="3B7D37CF"/>
    <w:rsid w:val="3B8757B7"/>
    <w:rsid w:val="3B96663F"/>
    <w:rsid w:val="3BB0325D"/>
    <w:rsid w:val="3BB367AF"/>
    <w:rsid w:val="3BF07AFD"/>
    <w:rsid w:val="3BF55114"/>
    <w:rsid w:val="3BFC2566"/>
    <w:rsid w:val="3BFC2B46"/>
    <w:rsid w:val="3C024B7D"/>
    <w:rsid w:val="3C1275F2"/>
    <w:rsid w:val="3C243C4B"/>
    <w:rsid w:val="3C3C2D43"/>
    <w:rsid w:val="3C5462DE"/>
    <w:rsid w:val="3C755E98"/>
    <w:rsid w:val="3C7F4EBC"/>
    <w:rsid w:val="3C942B7F"/>
    <w:rsid w:val="3CA54D8C"/>
    <w:rsid w:val="3CB609AC"/>
    <w:rsid w:val="3CD45671"/>
    <w:rsid w:val="3CE8111C"/>
    <w:rsid w:val="3D006565"/>
    <w:rsid w:val="3D185DD5"/>
    <w:rsid w:val="3D2E3E83"/>
    <w:rsid w:val="3D5755C1"/>
    <w:rsid w:val="3D622C7D"/>
    <w:rsid w:val="3D87623F"/>
    <w:rsid w:val="3D9646D4"/>
    <w:rsid w:val="3D9848F1"/>
    <w:rsid w:val="3DD1570D"/>
    <w:rsid w:val="3DDC2A2F"/>
    <w:rsid w:val="3DDC52BD"/>
    <w:rsid w:val="3DE43692"/>
    <w:rsid w:val="3DFD29A6"/>
    <w:rsid w:val="3E071942"/>
    <w:rsid w:val="3E10092B"/>
    <w:rsid w:val="3E173A67"/>
    <w:rsid w:val="3E18333B"/>
    <w:rsid w:val="3E3A7756"/>
    <w:rsid w:val="3E5500EC"/>
    <w:rsid w:val="3E614CE2"/>
    <w:rsid w:val="3E6A4A4B"/>
    <w:rsid w:val="3E752B59"/>
    <w:rsid w:val="3E90381A"/>
    <w:rsid w:val="3E9055C8"/>
    <w:rsid w:val="3EC15781"/>
    <w:rsid w:val="3EF23B8C"/>
    <w:rsid w:val="3F402B4A"/>
    <w:rsid w:val="3F520BF1"/>
    <w:rsid w:val="3F544847"/>
    <w:rsid w:val="3F676452"/>
    <w:rsid w:val="3F83631C"/>
    <w:rsid w:val="3F8A2017"/>
    <w:rsid w:val="3FA23805"/>
    <w:rsid w:val="3FCA68B7"/>
    <w:rsid w:val="3FCF2120"/>
    <w:rsid w:val="3FF878C8"/>
    <w:rsid w:val="40095632"/>
    <w:rsid w:val="40161AFD"/>
    <w:rsid w:val="404B79F8"/>
    <w:rsid w:val="4070745F"/>
    <w:rsid w:val="409B6E83"/>
    <w:rsid w:val="40A35A86"/>
    <w:rsid w:val="40E26775"/>
    <w:rsid w:val="40F41E3E"/>
    <w:rsid w:val="40F77B80"/>
    <w:rsid w:val="41016309"/>
    <w:rsid w:val="411C75E7"/>
    <w:rsid w:val="414601C0"/>
    <w:rsid w:val="4149029A"/>
    <w:rsid w:val="414D154E"/>
    <w:rsid w:val="41597EF3"/>
    <w:rsid w:val="41655958"/>
    <w:rsid w:val="416B7C26"/>
    <w:rsid w:val="417B437E"/>
    <w:rsid w:val="417C1E33"/>
    <w:rsid w:val="418340E0"/>
    <w:rsid w:val="418D4040"/>
    <w:rsid w:val="41961147"/>
    <w:rsid w:val="41990C37"/>
    <w:rsid w:val="41C674DA"/>
    <w:rsid w:val="41D61543"/>
    <w:rsid w:val="41EA3241"/>
    <w:rsid w:val="423A25D7"/>
    <w:rsid w:val="423F358D"/>
    <w:rsid w:val="425608D6"/>
    <w:rsid w:val="4277108F"/>
    <w:rsid w:val="42904CEB"/>
    <w:rsid w:val="42BC2E2F"/>
    <w:rsid w:val="42C121F4"/>
    <w:rsid w:val="42EA799C"/>
    <w:rsid w:val="42F04887"/>
    <w:rsid w:val="430F11B1"/>
    <w:rsid w:val="432D5ADB"/>
    <w:rsid w:val="43324E9F"/>
    <w:rsid w:val="434442DC"/>
    <w:rsid w:val="435528D9"/>
    <w:rsid w:val="43754D8C"/>
    <w:rsid w:val="437B23A2"/>
    <w:rsid w:val="43A86F10"/>
    <w:rsid w:val="43C740F2"/>
    <w:rsid w:val="43C875B2"/>
    <w:rsid w:val="43DD305D"/>
    <w:rsid w:val="441962C2"/>
    <w:rsid w:val="446C369C"/>
    <w:rsid w:val="449F0313"/>
    <w:rsid w:val="44BA15F0"/>
    <w:rsid w:val="44BF2763"/>
    <w:rsid w:val="44C9538F"/>
    <w:rsid w:val="4507262A"/>
    <w:rsid w:val="452F5B3A"/>
    <w:rsid w:val="453E18DA"/>
    <w:rsid w:val="454366F1"/>
    <w:rsid w:val="4556057F"/>
    <w:rsid w:val="45642F0E"/>
    <w:rsid w:val="45C14BA3"/>
    <w:rsid w:val="45C411B0"/>
    <w:rsid w:val="45C86CE6"/>
    <w:rsid w:val="45D43FEC"/>
    <w:rsid w:val="460F771A"/>
    <w:rsid w:val="461B7E6D"/>
    <w:rsid w:val="463B22BD"/>
    <w:rsid w:val="463D3FE4"/>
    <w:rsid w:val="466435C2"/>
    <w:rsid w:val="466C2476"/>
    <w:rsid w:val="467C4DAF"/>
    <w:rsid w:val="46A9389A"/>
    <w:rsid w:val="46AB11F1"/>
    <w:rsid w:val="46AC4F69"/>
    <w:rsid w:val="46B124BA"/>
    <w:rsid w:val="46B300A5"/>
    <w:rsid w:val="46D71FE6"/>
    <w:rsid w:val="46E13C61"/>
    <w:rsid w:val="46E6047B"/>
    <w:rsid w:val="46E841F3"/>
    <w:rsid w:val="47017063"/>
    <w:rsid w:val="47332F94"/>
    <w:rsid w:val="47527C17"/>
    <w:rsid w:val="47643C7B"/>
    <w:rsid w:val="476B4E24"/>
    <w:rsid w:val="477535AD"/>
    <w:rsid w:val="47946307"/>
    <w:rsid w:val="47DE1152"/>
    <w:rsid w:val="47DE73A4"/>
    <w:rsid w:val="47EF2CCD"/>
    <w:rsid w:val="47FC782A"/>
    <w:rsid w:val="481D7ECC"/>
    <w:rsid w:val="48327B21"/>
    <w:rsid w:val="48345216"/>
    <w:rsid w:val="48374FFD"/>
    <w:rsid w:val="48457423"/>
    <w:rsid w:val="48594C7C"/>
    <w:rsid w:val="486F26F2"/>
    <w:rsid w:val="487E1EBD"/>
    <w:rsid w:val="489336D0"/>
    <w:rsid w:val="489363E0"/>
    <w:rsid w:val="48CE3BDC"/>
    <w:rsid w:val="48E409EA"/>
    <w:rsid w:val="48ED6274"/>
    <w:rsid w:val="48FF5824"/>
    <w:rsid w:val="492359B6"/>
    <w:rsid w:val="49602681"/>
    <w:rsid w:val="4980418B"/>
    <w:rsid w:val="49816239"/>
    <w:rsid w:val="498A77E3"/>
    <w:rsid w:val="49907954"/>
    <w:rsid w:val="49CB1BAA"/>
    <w:rsid w:val="49CD147E"/>
    <w:rsid w:val="49ED1B20"/>
    <w:rsid w:val="4A0955D0"/>
    <w:rsid w:val="4A203CA4"/>
    <w:rsid w:val="4A3459A1"/>
    <w:rsid w:val="4A3E05CE"/>
    <w:rsid w:val="4A4C4A99"/>
    <w:rsid w:val="4A630034"/>
    <w:rsid w:val="4A69564B"/>
    <w:rsid w:val="4A712751"/>
    <w:rsid w:val="4A791606"/>
    <w:rsid w:val="4A7B712C"/>
    <w:rsid w:val="4A901630"/>
    <w:rsid w:val="4AB83EDC"/>
    <w:rsid w:val="4ABA40F8"/>
    <w:rsid w:val="4AEB6C72"/>
    <w:rsid w:val="4AFA3073"/>
    <w:rsid w:val="4B045373"/>
    <w:rsid w:val="4B076A82"/>
    <w:rsid w:val="4B127428"/>
    <w:rsid w:val="4B210482"/>
    <w:rsid w:val="4B2E23F0"/>
    <w:rsid w:val="4B383717"/>
    <w:rsid w:val="4B4614E8"/>
    <w:rsid w:val="4B555BCF"/>
    <w:rsid w:val="4B702A09"/>
    <w:rsid w:val="4B73193A"/>
    <w:rsid w:val="4B75001F"/>
    <w:rsid w:val="4B764F1B"/>
    <w:rsid w:val="4B775B45"/>
    <w:rsid w:val="4B7C7600"/>
    <w:rsid w:val="4BCF3BD3"/>
    <w:rsid w:val="4BD72A88"/>
    <w:rsid w:val="4BE66A88"/>
    <w:rsid w:val="4BEB40E3"/>
    <w:rsid w:val="4C013661"/>
    <w:rsid w:val="4C017F9C"/>
    <w:rsid w:val="4C07336D"/>
    <w:rsid w:val="4C171548"/>
    <w:rsid w:val="4C231829"/>
    <w:rsid w:val="4C2A2BB8"/>
    <w:rsid w:val="4C2B6930"/>
    <w:rsid w:val="4C392ACA"/>
    <w:rsid w:val="4C46012D"/>
    <w:rsid w:val="4C5273F7"/>
    <w:rsid w:val="4C59524B"/>
    <w:rsid w:val="4C7E2F03"/>
    <w:rsid w:val="4C7F3624"/>
    <w:rsid w:val="4C910E89"/>
    <w:rsid w:val="4C945FDE"/>
    <w:rsid w:val="4CA02556"/>
    <w:rsid w:val="4CA87F80"/>
    <w:rsid w:val="4CB24AC5"/>
    <w:rsid w:val="4CB6269D"/>
    <w:rsid w:val="4CCA6149"/>
    <w:rsid w:val="4CCE5C39"/>
    <w:rsid w:val="4CDD5F2E"/>
    <w:rsid w:val="4CE91D3F"/>
    <w:rsid w:val="4CF17B79"/>
    <w:rsid w:val="4CF3744D"/>
    <w:rsid w:val="4CF55004"/>
    <w:rsid w:val="4D0A29E9"/>
    <w:rsid w:val="4D5636C2"/>
    <w:rsid w:val="4D5A3970"/>
    <w:rsid w:val="4D714816"/>
    <w:rsid w:val="4D88725A"/>
    <w:rsid w:val="4DA22C22"/>
    <w:rsid w:val="4DA85AFE"/>
    <w:rsid w:val="4DAD3AA0"/>
    <w:rsid w:val="4DEB6377"/>
    <w:rsid w:val="4DFA01A2"/>
    <w:rsid w:val="4E1D5F1D"/>
    <w:rsid w:val="4E21448E"/>
    <w:rsid w:val="4E231FB4"/>
    <w:rsid w:val="4E347D1E"/>
    <w:rsid w:val="4E42314D"/>
    <w:rsid w:val="4E5959D6"/>
    <w:rsid w:val="4E5A78AF"/>
    <w:rsid w:val="4E69356C"/>
    <w:rsid w:val="4E6D76D3"/>
    <w:rsid w:val="4E7A50BC"/>
    <w:rsid w:val="4E972BF0"/>
    <w:rsid w:val="4EC72940"/>
    <w:rsid w:val="4ECA0682"/>
    <w:rsid w:val="4EE72FE2"/>
    <w:rsid w:val="4EE942B4"/>
    <w:rsid w:val="4F041DE6"/>
    <w:rsid w:val="4F147B4F"/>
    <w:rsid w:val="4F1D1C44"/>
    <w:rsid w:val="4F6208BA"/>
    <w:rsid w:val="4FAB2261"/>
    <w:rsid w:val="4FAC7D88"/>
    <w:rsid w:val="4FC926E8"/>
    <w:rsid w:val="4FD55642"/>
    <w:rsid w:val="4FDD43E5"/>
    <w:rsid w:val="4FF30B37"/>
    <w:rsid w:val="4FF956BD"/>
    <w:rsid w:val="501778F7"/>
    <w:rsid w:val="502A762A"/>
    <w:rsid w:val="503E4E84"/>
    <w:rsid w:val="50416722"/>
    <w:rsid w:val="50620EE9"/>
    <w:rsid w:val="50642410"/>
    <w:rsid w:val="506A3ECB"/>
    <w:rsid w:val="508F3931"/>
    <w:rsid w:val="50974594"/>
    <w:rsid w:val="50B05655"/>
    <w:rsid w:val="50B96C00"/>
    <w:rsid w:val="50C8299F"/>
    <w:rsid w:val="50F10148"/>
    <w:rsid w:val="50F96FFC"/>
    <w:rsid w:val="510A67DD"/>
    <w:rsid w:val="51114346"/>
    <w:rsid w:val="51183927"/>
    <w:rsid w:val="51234079"/>
    <w:rsid w:val="51434C7B"/>
    <w:rsid w:val="51453FF0"/>
    <w:rsid w:val="514A5D72"/>
    <w:rsid w:val="51501312"/>
    <w:rsid w:val="515D758B"/>
    <w:rsid w:val="516F6EC5"/>
    <w:rsid w:val="517900DB"/>
    <w:rsid w:val="51822697"/>
    <w:rsid w:val="51A76A58"/>
    <w:rsid w:val="51AC22C1"/>
    <w:rsid w:val="51B353FD"/>
    <w:rsid w:val="51C413B8"/>
    <w:rsid w:val="51C70EA9"/>
    <w:rsid w:val="51C94C21"/>
    <w:rsid w:val="51D33CF1"/>
    <w:rsid w:val="51E97071"/>
    <w:rsid w:val="51ED6B61"/>
    <w:rsid w:val="51EE28D9"/>
    <w:rsid w:val="520E2829"/>
    <w:rsid w:val="52195BA8"/>
    <w:rsid w:val="523D6CE6"/>
    <w:rsid w:val="524B60EA"/>
    <w:rsid w:val="525F7333"/>
    <w:rsid w:val="52D7336D"/>
    <w:rsid w:val="52E33AC0"/>
    <w:rsid w:val="52E379E2"/>
    <w:rsid w:val="52E52A3A"/>
    <w:rsid w:val="530103EA"/>
    <w:rsid w:val="5302183A"/>
    <w:rsid w:val="53051C89"/>
    <w:rsid w:val="53071EA5"/>
    <w:rsid w:val="532C190B"/>
    <w:rsid w:val="533B708F"/>
    <w:rsid w:val="534A1D91"/>
    <w:rsid w:val="53511372"/>
    <w:rsid w:val="53656BCB"/>
    <w:rsid w:val="53664C1B"/>
    <w:rsid w:val="537F5EDF"/>
    <w:rsid w:val="53891BE0"/>
    <w:rsid w:val="53A616BE"/>
    <w:rsid w:val="53B813F1"/>
    <w:rsid w:val="53C41B44"/>
    <w:rsid w:val="53C5197D"/>
    <w:rsid w:val="53C5766A"/>
    <w:rsid w:val="53EA4C3A"/>
    <w:rsid w:val="53EE6BC1"/>
    <w:rsid w:val="53FC752F"/>
    <w:rsid w:val="54263DFA"/>
    <w:rsid w:val="54665426"/>
    <w:rsid w:val="54806822"/>
    <w:rsid w:val="54A009FA"/>
    <w:rsid w:val="54B66662"/>
    <w:rsid w:val="54C33680"/>
    <w:rsid w:val="54D73AF9"/>
    <w:rsid w:val="54D97871"/>
    <w:rsid w:val="54F70963"/>
    <w:rsid w:val="55344AA7"/>
    <w:rsid w:val="55474FEC"/>
    <w:rsid w:val="554967A4"/>
    <w:rsid w:val="55656AA7"/>
    <w:rsid w:val="55672C45"/>
    <w:rsid w:val="556C2493"/>
    <w:rsid w:val="55711CA0"/>
    <w:rsid w:val="557E5D22"/>
    <w:rsid w:val="558C6691"/>
    <w:rsid w:val="559C217F"/>
    <w:rsid w:val="55A162DB"/>
    <w:rsid w:val="55A26D87"/>
    <w:rsid w:val="55BD684B"/>
    <w:rsid w:val="55D20B70"/>
    <w:rsid w:val="55E31A5B"/>
    <w:rsid w:val="55E93AE3"/>
    <w:rsid w:val="55EC35D4"/>
    <w:rsid w:val="55F00D79"/>
    <w:rsid w:val="55FA184D"/>
    <w:rsid w:val="56013898"/>
    <w:rsid w:val="563B3C13"/>
    <w:rsid w:val="56450DA4"/>
    <w:rsid w:val="56460F02"/>
    <w:rsid w:val="56680EAC"/>
    <w:rsid w:val="56682C5A"/>
    <w:rsid w:val="566C201F"/>
    <w:rsid w:val="566C3A58"/>
    <w:rsid w:val="56717635"/>
    <w:rsid w:val="567710EF"/>
    <w:rsid w:val="56786C15"/>
    <w:rsid w:val="567A0BDF"/>
    <w:rsid w:val="568E43BD"/>
    <w:rsid w:val="569C2904"/>
    <w:rsid w:val="56D95906"/>
    <w:rsid w:val="57064221"/>
    <w:rsid w:val="571701DC"/>
    <w:rsid w:val="572823EA"/>
    <w:rsid w:val="57392849"/>
    <w:rsid w:val="573C40E7"/>
    <w:rsid w:val="573D3418"/>
    <w:rsid w:val="57460AC2"/>
    <w:rsid w:val="574865E8"/>
    <w:rsid w:val="577473DD"/>
    <w:rsid w:val="577962B5"/>
    <w:rsid w:val="57981DED"/>
    <w:rsid w:val="57C02622"/>
    <w:rsid w:val="57D52571"/>
    <w:rsid w:val="57EF2F07"/>
    <w:rsid w:val="57F549C2"/>
    <w:rsid w:val="57F66EE3"/>
    <w:rsid w:val="57FD3B20"/>
    <w:rsid w:val="58044C05"/>
    <w:rsid w:val="581004A3"/>
    <w:rsid w:val="581110D0"/>
    <w:rsid w:val="58134E48"/>
    <w:rsid w:val="58254B7B"/>
    <w:rsid w:val="583975E8"/>
    <w:rsid w:val="58533677"/>
    <w:rsid w:val="58937D37"/>
    <w:rsid w:val="58C3686E"/>
    <w:rsid w:val="58D2260D"/>
    <w:rsid w:val="5903310E"/>
    <w:rsid w:val="59253085"/>
    <w:rsid w:val="59305585"/>
    <w:rsid w:val="59392902"/>
    <w:rsid w:val="594D4389"/>
    <w:rsid w:val="594F6875"/>
    <w:rsid w:val="59633BAD"/>
    <w:rsid w:val="596545F4"/>
    <w:rsid w:val="597162CA"/>
    <w:rsid w:val="597C1F53"/>
    <w:rsid w:val="598D4786"/>
    <w:rsid w:val="59A85A64"/>
    <w:rsid w:val="59B71030"/>
    <w:rsid w:val="59D40607"/>
    <w:rsid w:val="59E85035"/>
    <w:rsid w:val="59EF5441"/>
    <w:rsid w:val="5A07278A"/>
    <w:rsid w:val="5A1153B7"/>
    <w:rsid w:val="5A170196"/>
    <w:rsid w:val="5A221372"/>
    <w:rsid w:val="5A33532D"/>
    <w:rsid w:val="5A5B086E"/>
    <w:rsid w:val="5A61587F"/>
    <w:rsid w:val="5A755946"/>
    <w:rsid w:val="5A7F269F"/>
    <w:rsid w:val="5A843DDB"/>
    <w:rsid w:val="5A9F22BF"/>
    <w:rsid w:val="5AC12621"/>
    <w:rsid w:val="5AC474BB"/>
    <w:rsid w:val="5ACB7C5C"/>
    <w:rsid w:val="5ACD5782"/>
    <w:rsid w:val="5AF70A51"/>
    <w:rsid w:val="5B132C02"/>
    <w:rsid w:val="5B2630E4"/>
    <w:rsid w:val="5B2829B8"/>
    <w:rsid w:val="5B47335B"/>
    <w:rsid w:val="5B48305A"/>
    <w:rsid w:val="5B4E6197"/>
    <w:rsid w:val="5B6D3372"/>
    <w:rsid w:val="5B841BB9"/>
    <w:rsid w:val="5B995664"/>
    <w:rsid w:val="5BA16F7A"/>
    <w:rsid w:val="5BDE751B"/>
    <w:rsid w:val="5BE10DB9"/>
    <w:rsid w:val="5BE2700B"/>
    <w:rsid w:val="5BE663CF"/>
    <w:rsid w:val="5BEF76E9"/>
    <w:rsid w:val="5BEF797A"/>
    <w:rsid w:val="5BF3746A"/>
    <w:rsid w:val="5C1D0043"/>
    <w:rsid w:val="5C69772C"/>
    <w:rsid w:val="5C6E4D42"/>
    <w:rsid w:val="5C790899"/>
    <w:rsid w:val="5C844566"/>
    <w:rsid w:val="5C846314"/>
    <w:rsid w:val="5C877BB2"/>
    <w:rsid w:val="5CB12E81"/>
    <w:rsid w:val="5CB32755"/>
    <w:rsid w:val="5CC70097"/>
    <w:rsid w:val="5CE337FB"/>
    <w:rsid w:val="5CE768A3"/>
    <w:rsid w:val="5D042FB1"/>
    <w:rsid w:val="5D1A27D4"/>
    <w:rsid w:val="5D2378DB"/>
    <w:rsid w:val="5D2D2508"/>
    <w:rsid w:val="5D443CF5"/>
    <w:rsid w:val="5D5A52C7"/>
    <w:rsid w:val="5D635F29"/>
    <w:rsid w:val="5D6453EC"/>
    <w:rsid w:val="5DCA244C"/>
    <w:rsid w:val="5DD92690"/>
    <w:rsid w:val="5DDF234D"/>
    <w:rsid w:val="5DEC4171"/>
    <w:rsid w:val="5E015742"/>
    <w:rsid w:val="5E0D65D4"/>
    <w:rsid w:val="5E102EB2"/>
    <w:rsid w:val="5E18232E"/>
    <w:rsid w:val="5E3D49CC"/>
    <w:rsid w:val="5E457D25"/>
    <w:rsid w:val="5E6006BB"/>
    <w:rsid w:val="5E6C52B2"/>
    <w:rsid w:val="5E895E64"/>
    <w:rsid w:val="5E9B6682"/>
    <w:rsid w:val="5EB6652D"/>
    <w:rsid w:val="5EC7073A"/>
    <w:rsid w:val="5EF05EE3"/>
    <w:rsid w:val="5F1662FE"/>
    <w:rsid w:val="5F1C0A86"/>
    <w:rsid w:val="5F27742B"/>
    <w:rsid w:val="5F3F6522"/>
    <w:rsid w:val="5F6E6E08"/>
    <w:rsid w:val="5F723004"/>
    <w:rsid w:val="5F73441E"/>
    <w:rsid w:val="5F8D66F8"/>
    <w:rsid w:val="5FA56CCD"/>
    <w:rsid w:val="5FBC5DC5"/>
    <w:rsid w:val="5FCB3E45"/>
    <w:rsid w:val="5FD255E8"/>
    <w:rsid w:val="5FE32FC0"/>
    <w:rsid w:val="5FF11F12"/>
    <w:rsid w:val="5FF61893"/>
    <w:rsid w:val="600E1F62"/>
    <w:rsid w:val="6011550A"/>
    <w:rsid w:val="603A0715"/>
    <w:rsid w:val="60464B44"/>
    <w:rsid w:val="604A33D1"/>
    <w:rsid w:val="604C539B"/>
    <w:rsid w:val="605424A1"/>
    <w:rsid w:val="6056544E"/>
    <w:rsid w:val="60864B16"/>
    <w:rsid w:val="608763D3"/>
    <w:rsid w:val="608E7761"/>
    <w:rsid w:val="60C90799"/>
    <w:rsid w:val="60E33E00"/>
    <w:rsid w:val="60FC25B2"/>
    <w:rsid w:val="611063C8"/>
    <w:rsid w:val="614C4F26"/>
    <w:rsid w:val="61513E04"/>
    <w:rsid w:val="615E35D8"/>
    <w:rsid w:val="617A5F38"/>
    <w:rsid w:val="617F354E"/>
    <w:rsid w:val="61842912"/>
    <w:rsid w:val="61A46529"/>
    <w:rsid w:val="61C620D9"/>
    <w:rsid w:val="61D3537B"/>
    <w:rsid w:val="61F07FA8"/>
    <w:rsid w:val="621023F8"/>
    <w:rsid w:val="621C6FEF"/>
    <w:rsid w:val="622639C9"/>
    <w:rsid w:val="623E0D13"/>
    <w:rsid w:val="623E51B7"/>
    <w:rsid w:val="62487DE4"/>
    <w:rsid w:val="624D53FA"/>
    <w:rsid w:val="62A0552A"/>
    <w:rsid w:val="62B92A90"/>
    <w:rsid w:val="62D17DD9"/>
    <w:rsid w:val="62D653F0"/>
    <w:rsid w:val="62E418BB"/>
    <w:rsid w:val="62EB4ECC"/>
    <w:rsid w:val="62FE6115"/>
    <w:rsid w:val="630E2DDB"/>
    <w:rsid w:val="63185A08"/>
    <w:rsid w:val="634C5B54"/>
    <w:rsid w:val="6364795D"/>
    <w:rsid w:val="6375376A"/>
    <w:rsid w:val="6393508F"/>
    <w:rsid w:val="63B03E93"/>
    <w:rsid w:val="63B75221"/>
    <w:rsid w:val="63DE7595"/>
    <w:rsid w:val="640B10C9"/>
    <w:rsid w:val="641A5845"/>
    <w:rsid w:val="641B78F1"/>
    <w:rsid w:val="64370110"/>
    <w:rsid w:val="64430863"/>
    <w:rsid w:val="64504D2E"/>
    <w:rsid w:val="6457430E"/>
    <w:rsid w:val="64630F05"/>
    <w:rsid w:val="646A4041"/>
    <w:rsid w:val="646E5D32"/>
    <w:rsid w:val="64833355"/>
    <w:rsid w:val="648C220A"/>
    <w:rsid w:val="648D5F82"/>
    <w:rsid w:val="64990483"/>
    <w:rsid w:val="64B81251"/>
    <w:rsid w:val="64D72A6F"/>
    <w:rsid w:val="64E01E01"/>
    <w:rsid w:val="651B2D04"/>
    <w:rsid w:val="652266CA"/>
    <w:rsid w:val="652E1513"/>
    <w:rsid w:val="652E32C1"/>
    <w:rsid w:val="652F51CB"/>
    <w:rsid w:val="65424FBE"/>
    <w:rsid w:val="65444892"/>
    <w:rsid w:val="654F5284"/>
    <w:rsid w:val="65573688"/>
    <w:rsid w:val="658C04B8"/>
    <w:rsid w:val="659375C8"/>
    <w:rsid w:val="65A36D1C"/>
    <w:rsid w:val="65D04378"/>
    <w:rsid w:val="65DC2D1D"/>
    <w:rsid w:val="65ED6CD8"/>
    <w:rsid w:val="66044022"/>
    <w:rsid w:val="66056C42"/>
    <w:rsid w:val="662C4BDD"/>
    <w:rsid w:val="665054B9"/>
    <w:rsid w:val="666C3121"/>
    <w:rsid w:val="66AB22D9"/>
    <w:rsid w:val="66B66994"/>
    <w:rsid w:val="66BA2932"/>
    <w:rsid w:val="66D41533"/>
    <w:rsid w:val="66D83100"/>
    <w:rsid w:val="66DE4F71"/>
    <w:rsid w:val="66F54AF9"/>
    <w:rsid w:val="67613D32"/>
    <w:rsid w:val="677D22DE"/>
    <w:rsid w:val="679413D5"/>
    <w:rsid w:val="67966EFB"/>
    <w:rsid w:val="67A616D9"/>
    <w:rsid w:val="67BB4BB4"/>
    <w:rsid w:val="67D13CA2"/>
    <w:rsid w:val="67D143D7"/>
    <w:rsid w:val="67DD2D7C"/>
    <w:rsid w:val="67E265E5"/>
    <w:rsid w:val="67E73BFB"/>
    <w:rsid w:val="67EB5499"/>
    <w:rsid w:val="67F307F2"/>
    <w:rsid w:val="68012F0F"/>
    <w:rsid w:val="680B1697"/>
    <w:rsid w:val="68226616"/>
    <w:rsid w:val="68264723"/>
    <w:rsid w:val="683C7E7F"/>
    <w:rsid w:val="685400D7"/>
    <w:rsid w:val="686D5EAE"/>
    <w:rsid w:val="686E4E9E"/>
    <w:rsid w:val="68802085"/>
    <w:rsid w:val="68896A60"/>
    <w:rsid w:val="688B4586"/>
    <w:rsid w:val="688F051A"/>
    <w:rsid w:val="68A8338A"/>
    <w:rsid w:val="68B25FB7"/>
    <w:rsid w:val="68B426E4"/>
    <w:rsid w:val="68BC6214"/>
    <w:rsid w:val="68DD7E80"/>
    <w:rsid w:val="68F0088D"/>
    <w:rsid w:val="69005E96"/>
    <w:rsid w:val="690B0DF4"/>
    <w:rsid w:val="6922138F"/>
    <w:rsid w:val="692934EF"/>
    <w:rsid w:val="696A0640"/>
    <w:rsid w:val="698A0CE2"/>
    <w:rsid w:val="699D6C67"/>
    <w:rsid w:val="69A43B52"/>
    <w:rsid w:val="69B31FE7"/>
    <w:rsid w:val="69BB0FFE"/>
    <w:rsid w:val="69CE5072"/>
    <w:rsid w:val="69D87D54"/>
    <w:rsid w:val="69E228CC"/>
    <w:rsid w:val="69E421A0"/>
    <w:rsid w:val="6A242EE4"/>
    <w:rsid w:val="6A2E3D63"/>
    <w:rsid w:val="6A321B28"/>
    <w:rsid w:val="6A425119"/>
    <w:rsid w:val="6A440E91"/>
    <w:rsid w:val="6A757240"/>
    <w:rsid w:val="6AD246EE"/>
    <w:rsid w:val="6AE755AA"/>
    <w:rsid w:val="6AF45D94"/>
    <w:rsid w:val="6B142F59"/>
    <w:rsid w:val="6B272C8C"/>
    <w:rsid w:val="6B2A72E4"/>
    <w:rsid w:val="6B56531F"/>
    <w:rsid w:val="6B6A4927"/>
    <w:rsid w:val="6B7834E8"/>
    <w:rsid w:val="6B7D28AC"/>
    <w:rsid w:val="6B80688B"/>
    <w:rsid w:val="6B9A4EA3"/>
    <w:rsid w:val="6BA51E03"/>
    <w:rsid w:val="6BD149A6"/>
    <w:rsid w:val="6BD44496"/>
    <w:rsid w:val="6BE32FA2"/>
    <w:rsid w:val="6BEC7A32"/>
    <w:rsid w:val="6C094140"/>
    <w:rsid w:val="6C0C59DE"/>
    <w:rsid w:val="6C156F89"/>
    <w:rsid w:val="6C264CF2"/>
    <w:rsid w:val="6C313697"/>
    <w:rsid w:val="6C3C4515"/>
    <w:rsid w:val="6C445178"/>
    <w:rsid w:val="6C580012"/>
    <w:rsid w:val="6C5D26DE"/>
    <w:rsid w:val="6C6972D4"/>
    <w:rsid w:val="6C714BA2"/>
    <w:rsid w:val="6C727F37"/>
    <w:rsid w:val="6C835D8A"/>
    <w:rsid w:val="6C8C6B1F"/>
    <w:rsid w:val="6CA200F0"/>
    <w:rsid w:val="6CAE4CE7"/>
    <w:rsid w:val="6CB71DEE"/>
    <w:rsid w:val="6CD7423E"/>
    <w:rsid w:val="6CD75FEC"/>
    <w:rsid w:val="6CDA7624"/>
    <w:rsid w:val="6CE30E35"/>
    <w:rsid w:val="6CE81713"/>
    <w:rsid w:val="6CF272CA"/>
    <w:rsid w:val="6D013069"/>
    <w:rsid w:val="6D070BEB"/>
    <w:rsid w:val="6D0B6015"/>
    <w:rsid w:val="6D1A237D"/>
    <w:rsid w:val="6D5D0BE7"/>
    <w:rsid w:val="6D5F2237"/>
    <w:rsid w:val="6D633D24"/>
    <w:rsid w:val="6D68758C"/>
    <w:rsid w:val="6D7B76B4"/>
    <w:rsid w:val="6D872B7A"/>
    <w:rsid w:val="6D875C64"/>
    <w:rsid w:val="6D8A751D"/>
    <w:rsid w:val="6DA00AD4"/>
    <w:rsid w:val="6DA271B4"/>
    <w:rsid w:val="6DA57E98"/>
    <w:rsid w:val="6DB932C1"/>
    <w:rsid w:val="6DB97DE8"/>
    <w:rsid w:val="6DBB76BC"/>
    <w:rsid w:val="6DE77FA1"/>
    <w:rsid w:val="6DF10ECC"/>
    <w:rsid w:val="6E041063"/>
    <w:rsid w:val="6E096679"/>
    <w:rsid w:val="6E1437DA"/>
    <w:rsid w:val="6E1F0847"/>
    <w:rsid w:val="6E3A43BC"/>
    <w:rsid w:val="6E3B25AB"/>
    <w:rsid w:val="6E5813AF"/>
    <w:rsid w:val="6E5D6D8A"/>
    <w:rsid w:val="6E656371"/>
    <w:rsid w:val="6E6D0E10"/>
    <w:rsid w:val="6E745FC2"/>
    <w:rsid w:val="6E8746CF"/>
    <w:rsid w:val="6E8E4DD0"/>
    <w:rsid w:val="6E9028F6"/>
    <w:rsid w:val="6E9323E7"/>
    <w:rsid w:val="6EA63EC8"/>
    <w:rsid w:val="6EB74327"/>
    <w:rsid w:val="6EBD4657"/>
    <w:rsid w:val="6EDA6267"/>
    <w:rsid w:val="6EE82732"/>
    <w:rsid w:val="6F035521"/>
    <w:rsid w:val="6F141779"/>
    <w:rsid w:val="6F1E6154"/>
    <w:rsid w:val="6F871F4B"/>
    <w:rsid w:val="6F8C7562"/>
    <w:rsid w:val="6F9401C4"/>
    <w:rsid w:val="6FC00FB9"/>
    <w:rsid w:val="6FED3D79"/>
    <w:rsid w:val="6FF15617"/>
    <w:rsid w:val="700370F8"/>
    <w:rsid w:val="70052E70"/>
    <w:rsid w:val="70074E3A"/>
    <w:rsid w:val="701E2184"/>
    <w:rsid w:val="70217C47"/>
    <w:rsid w:val="70271038"/>
    <w:rsid w:val="7027728A"/>
    <w:rsid w:val="70381498"/>
    <w:rsid w:val="70553DF8"/>
    <w:rsid w:val="70575432"/>
    <w:rsid w:val="70585696"/>
    <w:rsid w:val="705B5186"/>
    <w:rsid w:val="70683BA9"/>
    <w:rsid w:val="706933FF"/>
    <w:rsid w:val="70AB3A18"/>
    <w:rsid w:val="70B2124A"/>
    <w:rsid w:val="70B26E0A"/>
    <w:rsid w:val="70C1323B"/>
    <w:rsid w:val="70C139D4"/>
    <w:rsid w:val="70C26FB3"/>
    <w:rsid w:val="70DF5DB7"/>
    <w:rsid w:val="70DF7B65"/>
    <w:rsid w:val="71237A52"/>
    <w:rsid w:val="712437CA"/>
    <w:rsid w:val="713779A1"/>
    <w:rsid w:val="715B341E"/>
    <w:rsid w:val="715C2F64"/>
    <w:rsid w:val="71600CA6"/>
    <w:rsid w:val="717C6A05"/>
    <w:rsid w:val="718030F6"/>
    <w:rsid w:val="7185070D"/>
    <w:rsid w:val="71866233"/>
    <w:rsid w:val="71970440"/>
    <w:rsid w:val="71B20DD6"/>
    <w:rsid w:val="71BB412E"/>
    <w:rsid w:val="71C64881"/>
    <w:rsid w:val="71CA611F"/>
    <w:rsid w:val="71CC00E9"/>
    <w:rsid w:val="71E80C9B"/>
    <w:rsid w:val="71EA4A14"/>
    <w:rsid w:val="71F426C7"/>
    <w:rsid w:val="71FC02A3"/>
    <w:rsid w:val="72193587"/>
    <w:rsid w:val="722C52AF"/>
    <w:rsid w:val="72451C4A"/>
    <w:rsid w:val="72620A4E"/>
    <w:rsid w:val="72954F16"/>
    <w:rsid w:val="729606F7"/>
    <w:rsid w:val="72A06E9E"/>
    <w:rsid w:val="72B8066E"/>
    <w:rsid w:val="72EE0533"/>
    <w:rsid w:val="72F0605A"/>
    <w:rsid w:val="72F378F8"/>
    <w:rsid w:val="72FB4C14"/>
    <w:rsid w:val="72FD5005"/>
    <w:rsid w:val="731A4E85"/>
    <w:rsid w:val="733A72D5"/>
    <w:rsid w:val="736B748E"/>
    <w:rsid w:val="73A07A74"/>
    <w:rsid w:val="73AF7CC3"/>
    <w:rsid w:val="73C848E1"/>
    <w:rsid w:val="73D31512"/>
    <w:rsid w:val="740B2A1F"/>
    <w:rsid w:val="74177EF7"/>
    <w:rsid w:val="742C1313"/>
    <w:rsid w:val="743B1556"/>
    <w:rsid w:val="74455F31"/>
    <w:rsid w:val="74566390"/>
    <w:rsid w:val="74587B30"/>
    <w:rsid w:val="746C5BB4"/>
    <w:rsid w:val="7472484C"/>
    <w:rsid w:val="747C7946"/>
    <w:rsid w:val="748E2F8C"/>
    <w:rsid w:val="749B3B7E"/>
    <w:rsid w:val="749D5D6D"/>
    <w:rsid w:val="74AA0C24"/>
    <w:rsid w:val="74AE1D28"/>
    <w:rsid w:val="74CE4179"/>
    <w:rsid w:val="74DD1DA7"/>
    <w:rsid w:val="74E0571E"/>
    <w:rsid w:val="74F811F5"/>
    <w:rsid w:val="750202C6"/>
    <w:rsid w:val="750C6A4F"/>
    <w:rsid w:val="7510653F"/>
    <w:rsid w:val="7535244A"/>
    <w:rsid w:val="75501031"/>
    <w:rsid w:val="75757FCD"/>
    <w:rsid w:val="75826D11"/>
    <w:rsid w:val="75894543"/>
    <w:rsid w:val="758A5CF7"/>
    <w:rsid w:val="758E3908"/>
    <w:rsid w:val="75906E08"/>
    <w:rsid w:val="75970A0E"/>
    <w:rsid w:val="75C36F43"/>
    <w:rsid w:val="75D02172"/>
    <w:rsid w:val="75E37B99"/>
    <w:rsid w:val="75E55C1E"/>
    <w:rsid w:val="75F662E4"/>
    <w:rsid w:val="75FE45EA"/>
    <w:rsid w:val="76001EAA"/>
    <w:rsid w:val="763B583E"/>
    <w:rsid w:val="76481D09"/>
    <w:rsid w:val="765B7C8E"/>
    <w:rsid w:val="76640964"/>
    <w:rsid w:val="76A333E3"/>
    <w:rsid w:val="76DD06A3"/>
    <w:rsid w:val="76EA2E95"/>
    <w:rsid w:val="770519A8"/>
    <w:rsid w:val="77183DD1"/>
    <w:rsid w:val="772C5186"/>
    <w:rsid w:val="773F310C"/>
    <w:rsid w:val="775070C7"/>
    <w:rsid w:val="776C7C79"/>
    <w:rsid w:val="77F4039A"/>
    <w:rsid w:val="780F0D30"/>
    <w:rsid w:val="781F01FE"/>
    <w:rsid w:val="78320EC2"/>
    <w:rsid w:val="783562BD"/>
    <w:rsid w:val="78412EB3"/>
    <w:rsid w:val="786170B2"/>
    <w:rsid w:val="786A065C"/>
    <w:rsid w:val="786F7A21"/>
    <w:rsid w:val="788D4480"/>
    <w:rsid w:val="78911745"/>
    <w:rsid w:val="7899684C"/>
    <w:rsid w:val="78A32008"/>
    <w:rsid w:val="78AC47D1"/>
    <w:rsid w:val="78C5209C"/>
    <w:rsid w:val="78E55F35"/>
    <w:rsid w:val="78FB12B4"/>
    <w:rsid w:val="790463BB"/>
    <w:rsid w:val="790E7239"/>
    <w:rsid w:val="79183C14"/>
    <w:rsid w:val="791D747D"/>
    <w:rsid w:val="792A3948"/>
    <w:rsid w:val="794C1B10"/>
    <w:rsid w:val="794E5888"/>
    <w:rsid w:val="79584959"/>
    <w:rsid w:val="79674B9C"/>
    <w:rsid w:val="79731EEB"/>
    <w:rsid w:val="79751067"/>
    <w:rsid w:val="79815C5D"/>
    <w:rsid w:val="799040F2"/>
    <w:rsid w:val="79AB2CDA"/>
    <w:rsid w:val="79BA2F1D"/>
    <w:rsid w:val="79CC49FF"/>
    <w:rsid w:val="79D264B9"/>
    <w:rsid w:val="79DF479F"/>
    <w:rsid w:val="79F04B91"/>
    <w:rsid w:val="7A140880"/>
    <w:rsid w:val="7A1E081D"/>
    <w:rsid w:val="7A2B5BC9"/>
    <w:rsid w:val="7A342CD0"/>
    <w:rsid w:val="7A4642E6"/>
    <w:rsid w:val="7A561865"/>
    <w:rsid w:val="7A652E89"/>
    <w:rsid w:val="7A765096"/>
    <w:rsid w:val="7A7E5845"/>
    <w:rsid w:val="7A8B6668"/>
    <w:rsid w:val="7A94376E"/>
    <w:rsid w:val="7A9C45BE"/>
    <w:rsid w:val="7AB45BBF"/>
    <w:rsid w:val="7ABC7537"/>
    <w:rsid w:val="7AC32DE5"/>
    <w:rsid w:val="7AE00762"/>
    <w:rsid w:val="7AEA0200"/>
    <w:rsid w:val="7B025075"/>
    <w:rsid w:val="7B0A6CF0"/>
    <w:rsid w:val="7B3075F6"/>
    <w:rsid w:val="7B3960C4"/>
    <w:rsid w:val="7B3D3E06"/>
    <w:rsid w:val="7B3E36DA"/>
    <w:rsid w:val="7B481280"/>
    <w:rsid w:val="7B4A6DD9"/>
    <w:rsid w:val="7B537186"/>
    <w:rsid w:val="7B564EC8"/>
    <w:rsid w:val="7B641393"/>
    <w:rsid w:val="7B842703"/>
    <w:rsid w:val="7B845591"/>
    <w:rsid w:val="7B902188"/>
    <w:rsid w:val="7C324FED"/>
    <w:rsid w:val="7C3E1BE4"/>
    <w:rsid w:val="7C8810B1"/>
    <w:rsid w:val="7C8B22DF"/>
    <w:rsid w:val="7C9E2682"/>
    <w:rsid w:val="7CA0464C"/>
    <w:rsid w:val="7CAF4890"/>
    <w:rsid w:val="7CE02C9B"/>
    <w:rsid w:val="7CFB7AD5"/>
    <w:rsid w:val="7D0E0AB3"/>
    <w:rsid w:val="7D221505"/>
    <w:rsid w:val="7D3A560F"/>
    <w:rsid w:val="7D4274B2"/>
    <w:rsid w:val="7D463A11"/>
    <w:rsid w:val="7D4C20DE"/>
    <w:rsid w:val="7D5176F5"/>
    <w:rsid w:val="7D523576"/>
    <w:rsid w:val="7D603DDC"/>
    <w:rsid w:val="7D657644"/>
    <w:rsid w:val="7D6C452F"/>
    <w:rsid w:val="7D8C4BD1"/>
    <w:rsid w:val="7D965A4F"/>
    <w:rsid w:val="7DB2526C"/>
    <w:rsid w:val="7DB76E0E"/>
    <w:rsid w:val="7DCC47EC"/>
    <w:rsid w:val="7DCE51E9"/>
    <w:rsid w:val="7DDB3462"/>
    <w:rsid w:val="7DDD71DA"/>
    <w:rsid w:val="7DF2712A"/>
    <w:rsid w:val="7E1F194A"/>
    <w:rsid w:val="7E2E3EDA"/>
    <w:rsid w:val="7E795155"/>
    <w:rsid w:val="7E7C69F3"/>
    <w:rsid w:val="7E96795F"/>
    <w:rsid w:val="7EB97C47"/>
    <w:rsid w:val="7EC108AA"/>
    <w:rsid w:val="7EE84089"/>
    <w:rsid w:val="7EEF3669"/>
    <w:rsid w:val="7F19282F"/>
    <w:rsid w:val="7F392B36"/>
    <w:rsid w:val="7F4E20DD"/>
    <w:rsid w:val="7F54171E"/>
    <w:rsid w:val="7F6D27E0"/>
    <w:rsid w:val="7F8244DD"/>
    <w:rsid w:val="7F8E2E82"/>
    <w:rsid w:val="7FA36202"/>
    <w:rsid w:val="7FEB5F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qFormat="1" w:unhideWhenUsed="0" w:uiPriority="0" w:semiHidden="0"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after="260" w:line="416" w:lineRule="auto"/>
      <w:outlineLvl w:val="2"/>
    </w:pPr>
    <w:rPr>
      <w:b/>
      <w:bCs/>
      <w:sz w:val="32"/>
      <w:szCs w:val="32"/>
    </w:rPr>
  </w:style>
  <w:style w:type="paragraph" w:styleId="6">
    <w:name w:val="heading 4"/>
    <w:basedOn w:val="1"/>
    <w:next w:val="1"/>
    <w:link w:val="45"/>
    <w:qFormat/>
    <w:uiPriority w:val="0"/>
    <w:pPr>
      <w:keepNext/>
      <w:jc w:val="center"/>
      <w:outlineLvl w:val="3"/>
    </w:pPr>
    <w:rPr>
      <w:rFonts w:eastAsia="新宋体"/>
      <w:sz w:val="30"/>
      <w:szCs w:val="21"/>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7">
    <w:name w:val="Normal Indent"/>
    <w:basedOn w:val="1"/>
    <w:link w:val="46"/>
    <w:qFormat/>
    <w:uiPriority w:val="0"/>
    <w:pPr>
      <w:ind w:firstLine="420"/>
    </w:pPr>
    <w:rPr>
      <w:szCs w:val="20"/>
    </w:rPr>
  </w:style>
  <w:style w:type="paragraph" w:styleId="8">
    <w:name w:val="Document Map"/>
    <w:basedOn w:val="1"/>
    <w:link w:val="47"/>
    <w:semiHidden/>
    <w:qFormat/>
    <w:uiPriority w:val="0"/>
    <w:pPr>
      <w:shd w:val="clear" w:color="auto" w:fill="000080"/>
    </w:pPr>
  </w:style>
  <w:style w:type="paragraph" w:styleId="9">
    <w:name w:val="annotation text"/>
    <w:basedOn w:val="1"/>
    <w:unhideWhenUsed/>
    <w:qFormat/>
    <w:uiPriority w:val="99"/>
    <w:pPr>
      <w:jc w:val="left"/>
    </w:pPr>
  </w:style>
  <w:style w:type="paragraph" w:styleId="10">
    <w:name w:val="Body Text Indent"/>
    <w:basedOn w:val="1"/>
    <w:next w:val="11"/>
    <w:link w:val="48"/>
    <w:qFormat/>
    <w:uiPriority w:val="0"/>
    <w:pPr>
      <w:spacing w:after="120"/>
      <w:ind w:left="420" w:leftChars="200"/>
    </w:pPr>
  </w:style>
  <w:style w:type="paragraph" w:styleId="11">
    <w:name w:val="envelope return"/>
    <w:basedOn w:val="1"/>
    <w:qFormat/>
    <w:uiPriority w:val="99"/>
    <w:pPr>
      <w:snapToGrid w:val="0"/>
    </w:pPr>
    <w:rPr>
      <w:rFonts w:ascii="Arial" w:hAnsi="Arial" w:cs="Arial"/>
    </w:rPr>
  </w:style>
  <w:style w:type="paragraph" w:styleId="12">
    <w:name w:val="index 4"/>
    <w:basedOn w:val="1"/>
    <w:next w:val="1"/>
    <w:qFormat/>
    <w:uiPriority w:val="99"/>
    <w:pPr>
      <w:ind w:left="1260"/>
    </w:pPr>
    <w:rPr>
      <w:szCs w:val="20"/>
    </w:rPr>
  </w:style>
  <w:style w:type="paragraph" w:styleId="13">
    <w:name w:val="Plain Text"/>
    <w:basedOn w:val="1"/>
    <w:qFormat/>
    <w:uiPriority w:val="0"/>
    <w:rPr>
      <w:rFonts w:ascii="宋体" w:hAnsi="Courier New"/>
      <w:szCs w:val="20"/>
    </w:rPr>
  </w:style>
  <w:style w:type="paragraph" w:styleId="14">
    <w:name w:val="index 3"/>
    <w:basedOn w:val="1"/>
    <w:next w:val="1"/>
    <w:qFormat/>
    <w:uiPriority w:val="0"/>
    <w:pPr>
      <w:ind w:left="400" w:leftChars="400"/>
    </w:pPr>
  </w:style>
  <w:style w:type="paragraph" w:styleId="15">
    <w:name w:val="Date"/>
    <w:basedOn w:val="1"/>
    <w:next w:val="1"/>
    <w:link w:val="49"/>
    <w:qFormat/>
    <w:uiPriority w:val="0"/>
    <w:pPr>
      <w:ind w:left="100" w:leftChars="2500"/>
    </w:pPr>
  </w:style>
  <w:style w:type="paragraph" w:styleId="16">
    <w:name w:val="Balloon Text"/>
    <w:basedOn w:val="1"/>
    <w:link w:val="50"/>
    <w:semiHidden/>
    <w:qFormat/>
    <w:uiPriority w:val="0"/>
    <w:rPr>
      <w:sz w:val="18"/>
      <w:szCs w:val="18"/>
    </w:rPr>
  </w:style>
  <w:style w:type="paragraph" w:styleId="17">
    <w:name w:val="footer"/>
    <w:basedOn w:val="1"/>
    <w:link w:val="51"/>
    <w:qFormat/>
    <w:uiPriority w:val="99"/>
    <w:pPr>
      <w:tabs>
        <w:tab w:val="center" w:pos="4153"/>
        <w:tab w:val="right" w:pos="8306"/>
      </w:tabs>
      <w:snapToGrid w:val="0"/>
      <w:jc w:val="left"/>
    </w:pPr>
    <w:rPr>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Indent 3"/>
    <w:basedOn w:val="1"/>
    <w:link w:val="53"/>
    <w:qFormat/>
    <w:uiPriority w:val="0"/>
    <w:pPr>
      <w:spacing w:line="520" w:lineRule="exact"/>
      <w:ind w:firstLine="539" w:firstLineChars="184"/>
    </w:pPr>
    <w:rPr>
      <w:rFonts w:ascii="宋体"/>
      <w:b/>
      <w:spacing w:val="6"/>
      <w:sz w:val="28"/>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2"/>
    <w:unhideWhenUsed/>
    <w:qFormat/>
    <w:uiPriority w:val="99"/>
    <w:pPr>
      <w:ind w:firstLine="420" w:firstLineChars="100"/>
    </w:pPr>
    <w:rPr>
      <w:rFonts w:ascii="Calibri" w:hAnsi="Calibri"/>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qFormat/>
    <w:uiPriority w:val="0"/>
  </w:style>
  <w:style w:type="character" w:styleId="28">
    <w:name w:val="FollowedHyperlink"/>
    <w:unhideWhenUsed/>
    <w:qFormat/>
    <w:uiPriority w:val="99"/>
    <w:rPr>
      <w:color w:val="800080"/>
      <w:u w:val="none"/>
    </w:rPr>
  </w:style>
  <w:style w:type="character" w:styleId="29">
    <w:name w:val="Emphasis"/>
    <w:qFormat/>
    <w:uiPriority w:val="0"/>
    <w:rPr>
      <w:b/>
      <w:bCs/>
    </w:rPr>
  </w:style>
  <w:style w:type="character" w:styleId="30">
    <w:name w:val="HTML Definition"/>
    <w:unhideWhenUsed/>
    <w:qFormat/>
    <w:uiPriority w:val="99"/>
  </w:style>
  <w:style w:type="character" w:styleId="31">
    <w:name w:val="HTML Typewriter"/>
    <w:unhideWhenUsed/>
    <w:qFormat/>
    <w:uiPriority w:val="99"/>
    <w:rPr>
      <w:rFonts w:hint="default" w:ascii="monospace" w:hAnsi="monospace" w:eastAsia="monospace" w:cs="monospace"/>
      <w:sz w:val="20"/>
    </w:rPr>
  </w:style>
  <w:style w:type="character" w:styleId="32">
    <w:name w:val="HTML Acronym"/>
    <w:unhideWhenUsed/>
    <w:qFormat/>
    <w:uiPriority w:val="99"/>
  </w:style>
  <w:style w:type="character" w:styleId="33">
    <w:name w:val="HTML Variable"/>
    <w:unhideWhenUsed/>
    <w:qFormat/>
    <w:uiPriority w:val="99"/>
  </w:style>
  <w:style w:type="character" w:styleId="34">
    <w:name w:val="Hyperlink"/>
    <w:unhideWhenUsed/>
    <w:qFormat/>
    <w:uiPriority w:val="99"/>
    <w:rPr>
      <w:color w:val="0000FF"/>
      <w:u w:val="none"/>
    </w:rPr>
  </w:style>
  <w:style w:type="character" w:styleId="35">
    <w:name w:val="HTML Code"/>
    <w:unhideWhenUsed/>
    <w:qFormat/>
    <w:uiPriority w:val="99"/>
    <w:rPr>
      <w:rFonts w:hint="default" w:ascii="monospace" w:hAnsi="monospace" w:eastAsia="monospace" w:cs="monospace"/>
      <w:sz w:val="20"/>
    </w:rPr>
  </w:style>
  <w:style w:type="character" w:styleId="36">
    <w:name w:val="HTML Cite"/>
    <w:unhideWhenUsed/>
    <w:qFormat/>
    <w:uiPriority w:val="99"/>
  </w:style>
  <w:style w:type="character" w:styleId="37">
    <w:name w:val="HTML Keyboard"/>
    <w:unhideWhenUsed/>
    <w:qFormat/>
    <w:uiPriority w:val="99"/>
    <w:rPr>
      <w:rFonts w:ascii="monospace" w:hAnsi="monospace" w:eastAsia="monospace" w:cs="monospace"/>
      <w:sz w:val="20"/>
    </w:rPr>
  </w:style>
  <w:style w:type="character" w:styleId="38">
    <w:name w:val="HTML Sample"/>
    <w:unhideWhenUsed/>
    <w:qFormat/>
    <w:uiPriority w:val="99"/>
    <w:rPr>
      <w:rFonts w:hint="default" w:ascii="monospace" w:hAnsi="monospace" w:eastAsia="monospace" w:cs="monospace"/>
    </w:rPr>
  </w:style>
  <w:style w:type="paragraph" w:customStyle="1" w:styleId="39">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40">
    <w:name w:val="表格文字"/>
    <w:basedOn w:val="10"/>
    <w:next w:val="2"/>
    <w:qFormat/>
    <w:uiPriority w:val="0"/>
  </w:style>
  <w:style w:type="paragraph" w:customStyle="1" w:styleId="41">
    <w:name w:val="正文文本1"/>
    <w:basedOn w:val="1"/>
    <w:next w:val="1"/>
    <w:qFormat/>
    <w:uiPriority w:val="0"/>
    <w:rPr>
      <w:rFonts w:ascii="仿宋_GB2312" w:eastAsia="仿宋_GB2312"/>
      <w:sz w:val="24"/>
      <w:szCs w:val="20"/>
    </w:rPr>
  </w:style>
  <w:style w:type="character" w:customStyle="1" w:styleId="42">
    <w:name w:val="标题 1 字符"/>
    <w:link w:val="3"/>
    <w:qFormat/>
    <w:uiPriority w:val="0"/>
    <w:rPr>
      <w:b/>
      <w:bCs/>
      <w:kern w:val="44"/>
      <w:sz w:val="44"/>
      <w:szCs w:val="44"/>
    </w:rPr>
  </w:style>
  <w:style w:type="character" w:customStyle="1" w:styleId="43">
    <w:name w:val="标题 2 字符"/>
    <w:link w:val="4"/>
    <w:qFormat/>
    <w:uiPriority w:val="0"/>
    <w:rPr>
      <w:rFonts w:ascii="Arial" w:hAnsi="Arial" w:eastAsia="黑体"/>
      <w:b/>
      <w:bCs/>
      <w:kern w:val="2"/>
      <w:sz w:val="32"/>
      <w:szCs w:val="32"/>
    </w:rPr>
  </w:style>
  <w:style w:type="character" w:customStyle="1" w:styleId="44">
    <w:name w:val="标题 3 字符"/>
    <w:link w:val="5"/>
    <w:qFormat/>
    <w:uiPriority w:val="0"/>
    <w:rPr>
      <w:b/>
      <w:bCs/>
      <w:kern w:val="2"/>
      <w:sz w:val="32"/>
      <w:szCs w:val="32"/>
    </w:rPr>
  </w:style>
  <w:style w:type="character" w:customStyle="1" w:styleId="45">
    <w:name w:val="标题 4 字符"/>
    <w:link w:val="6"/>
    <w:qFormat/>
    <w:uiPriority w:val="0"/>
    <w:rPr>
      <w:rFonts w:eastAsia="新宋体"/>
      <w:kern w:val="2"/>
      <w:sz w:val="30"/>
      <w:szCs w:val="21"/>
    </w:rPr>
  </w:style>
  <w:style w:type="character" w:customStyle="1" w:styleId="46">
    <w:name w:val="正文缩进 字符"/>
    <w:link w:val="7"/>
    <w:qFormat/>
    <w:uiPriority w:val="0"/>
    <w:rPr>
      <w:kern w:val="2"/>
      <w:sz w:val="21"/>
    </w:rPr>
  </w:style>
  <w:style w:type="character" w:customStyle="1" w:styleId="47">
    <w:name w:val="文档结构图 字符"/>
    <w:link w:val="8"/>
    <w:semiHidden/>
    <w:qFormat/>
    <w:uiPriority w:val="0"/>
    <w:rPr>
      <w:kern w:val="2"/>
      <w:sz w:val="21"/>
      <w:szCs w:val="24"/>
      <w:shd w:val="clear" w:color="auto" w:fill="000080"/>
    </w:rPr>
  </w:style>
  <w:style w:type="character" w:customStyle="1" w:styleId="48">
    <w:name w:val="正文文本缩进 字符"/>
    <w:link w:val="10"/>
    <w:qFormat/>
    <w:uiPriority w:val="0"/>
    <w:rPr>
      <w:kern w:val="2"/>
      <w:sz w:val="21"/>
      <w:szCs w:val="24"/>
    </w:rPr>
  </w:style>
  <w:style w:type="character" w:customStyle="1" w:styleId="49">
    <w:name w:val="日期 字符"/>
    <w:link w:val="15"/>
    <w:qFormat/>
    <w:uiPriority w:val="0"/>
    <w:rPr>
      <w:kern w:val="2"/>
      <w:sz w:val="21"/>
      <w:szCs w:val="24"/>
    </w:rPr>
  </w:style>
  <w:style w:type="character" w:customStyle="1" w:styleId="50">
    <w:name w:val="批注框文本 字符"/>
    <w:link w:val="16"/>
    <w:semiHidden/>
    <w:qFormat/>
    <w:uiPriority w:val="0"/>
    <w:rPr>
      <w:kern w:val="2"/>
      <w:sz w:val="18"/>
      <w:szCs w:val="18"/>
    </w:rPr>
  </w:style>
  <w:style w:type="character" w:customStyle="1" w:styleId="51">
    <w:name w:val="页脚 字符1"/>
    <w:link w:val="17"/>
    <w:qFormat/>
    <w:uiPriority w:val="99"/>
    <w:rPr>
      <w:kern w:val="2"/>
      <w:sz w:val="18"/>
      <w:szCs w:val="18"/>
    </w:rPr>
  </w:style>
  <w:style w:type="character" w:customStyle="1" w:styleId="52">
    <w:name w:val="页眉 字符"/>
    <w:link w:val="18"/>
    <w:qFormat/>
    <w:uiPriority w:val="0"/>
    <w:rPr>
      <w:kern w:val="2"/>
      <w:sz w:val="18"/>
      <w:szCs w:val="18"/>
    </w:rPr>
  </w:style>
  <w:style w:type="character" w:customStyle="1" w:styleId="53">
    <w:name w:val="正文文本缩进 3 字符"/>
    <w:link w:val="20"/>
    <w:qFormat/>
    <w:uiPriority w:val="0"/>
    <w:rPr>
      <w:rFonts w:ascii="宋体"/>
      <w:b/>
      <w:spacing w:val="6"/>
      <w:kern w:val="2"/>
      <w:sz w:val="28"/>
      <w:szCs w:val="24"/>
    </w:rPr>
  </w:style>
  <w:style w:type="paragraph" w:customStyle="1" w:styleId="54">
    <w:name w:val="*正文"/>
    <w:basedOn w:val="1"/>
    <w:qFormat/>
    <w:uiPriority w:val="0"/>
    <w:rPr>
      <w:rFonts w:ascii="宋体" w:hAnsi="宋体"/>
      <w:kern w:val="0"/>
    </w:rPr>
  </w:style>
  <w:style w:type="paragraph" w:customStyle="1" w:styleId="55">
    <w:name w:val="列出段落1"/>
    <w:basedOn w:val="1"/>
    <w:qFormat/>
    <w:uiPriority w:val="0"/>
    <w:pPr>
      <w:ind w:firstLine="420" w:firstLineChars="200"/>
    </w:pPr>
    <w:rPr>
      <w:rFonts w:ascii="Calibri" w:hAnsi="Calibri"/>
      <w:szCs w:val="22"/>
    </w:rPr>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正文缩进2格 Char"/>
    <w:link w:val="58"/>
    <w:qFormat/>
    <w:locked/>
    <w:uiPriority w:val="0"/>
    <w:rPr>
      <w:rFonts w:ascii="仿宋_GB2312" w:hAnsi="宋体" w:eastAsia="仿宋_GB2312"/>
      <w:kern w:val="2"/>
      <w:sz w:val="31"/>
      <w:szCs w:val="28"/>
    </w:rPr>
  </w:style>
  <w:style w:type="paragraph" w:customStyle="1" w:styleId="58">
    <w:name w:val="正文缩进2格"/>
    <w:basedOn w:val="1"/>
    <w:link w:val="57"/>
    <w:qFormat/>
    <w:uiPriority w:val="0"/>
    <w:pPr>
      <w:spacing w:line="600" w:lineRule="exact"/>
      <w:ind w:firstLine="639" w:firstLineChars="206"/>
    </w:pPr>
    <w:rPr>
      <w:rFonts w:ascii="仿宋_GB2312" w:hAnsi="宋体" w:eastAsia="仿宋_GB2312"/>
      <w:sz w:val="31"/>
      <w:szCs w:val="28"/>
    </w:rPr>
  </w:style>
  <w:style w:type="character" w:customStyle="1" w:styleId="59">
    <w:name w:val="标题 3.1 Char"/>
    <w:link w:val="60"/>
    <w:qFormat/>
    <w:locked/>
    <w:uiPriority w:val="0"/>
    <w:rPr>
      <w:rFonts w:ascii="宋体" w:hAnsi="宋体"/>
      <w:b/>
      <w:bCs/>
      <w:color w:val="000000"/>
      <w:kern w:val="2"/>
      <w:sz w:val="32"/>
      <w:szCs w:val="32"/>
    </w:rPr>
  </w:style>
  <w:style w:type="paragraph" w:customStyle="1" w:styleId="60">
    <w:name w:val="标题 3.1"/>
    <w:basedOn w:val="5"/>
    <w:link w:val="59"/>
    <w:qFormat/>
    <w:uiPriority w:val="0"/>
    <w:pPr>
      <w:tabs>
        <w:tab w:val="left" w:pos="1440"/>
        <w:tab w:val="left" w:pos="1620"/>
      </w:tabs>
      <w:spacing w:line="600" w:lineRule="exact"/>
    </w:pPr>
    <w:rPr>
      <w:rFonts w:ascii="宋体" w:hAnsi="宋体"/>
      <w:color w:val="000000"/>
    </w:rPr>
  </w:style>
  <w:style w:type="paragraph" w:customStyle="1" w:styleId="61">
    <w:name w:val=" Char"/>
    <w:basedOn w:val="1"/>
    <w:qFormat/>
    <w:uiPriority w:val="0"/>
    <w:rPr>
      <w:rFonts w:ascii="Tahoma" w:hAnsi="Tahoma"/>
      <w:sz w:val="24"/>
      <w:szCs w:val="20"/>
    </w:rPr>
  </w:style>
  <w:style w:type="paragraph" w:customStyle="1" w:styleId="62">
    <w:name w:val="正文缩进4格"/>
    <w:basedOn w:val="58"/>
    <w:qFormat/>
    <w:uiPriority w:val="0"/>
    <w:pPr>
      <w:ind w:left="2" w:firstLine="538" w:firstLineChars="192"/>
    </w:pPr>
    <w:rPr>
      <w:color w:val="000000"/>
      <w:sz w:val="28"/>
    </w:rPr>
  </w:style>
  <w:style w:type="paragraph" w:customStyle="1" w:styleId="63">
    <w:name w:val=" Char Char Char Char"/>
    <w:basedOn w:val="1"/>
    <w:qFormat/>
    <w:uiPriority w:val="0"/>
    <w:rPr>
      <w:rFonts w:ascii="Tahoma" w:hAnsi="Tahoma"/>
      <w:sz w:val="24"/>
      <w:szCs w:val="20"/>
    </w:rPr>
  </w:style>
  <w:style w:type="paragraph" w:customStyle="1" w:styleId="64">
    <w:name w:val="Char1"/>
    <w:basedOn w:val="1"/>
    <w:qFormat/>
    <w:uiPriority w:val="0"/>
    <w:pPr>
      <w:tabs>
        <w:tab w:val="left" w:pos="840"/>
      </w:tabs>
      <w:ind w:left="840" w:hanging="420"/>
    </w:pPr>
    <w:rPr>
      <w:sz w:val="24"/>
    </w:rPr>
  </w:style>
  <w:style w:type="paragraph" w:customStyle="1" w:styleId="65">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 Char Char 字元 字元 字元 Char Char Char Char"/>
    <w:basedOn w:val="1"/>
    <w:qFormat/>
    <w:uiPriority w:val="0"/>
    <w:pPr>
      <w:adjustRightInd w:val="0"/>
      <w:spacing w:line="360" w:lineRule="auto"/>
    </w:pPr>
    <w:rPr>
      <w:kern w:val="0"/>
      <w:sz w:val="24"/>
      <w:szCs w:val="20"/>
    </w:rPr>
  </w:style>
  <w:style w:type="paragraph" w:customStyle="1" w:styleId="6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9">
    <w:name w:val="Char"/>
    <w:basedOn w:val="1"/>
    <w:qFormat/>
    <w:uiPriority w:val="0"/>
    <w:rPr>
      <w:rFonts w:ascii="Tahoma" w:hAnsi="Tahoma"/>
      <w:sz w:val="24"/>
      <w:szCs w:val="20"/>
    </w:rPr>
  </w:style>
  <w:style w:type="paragraph" w:customStyle="1" w:styleId="70">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71">
    <w:name w:val="普通正文 Char"/>
    <w:link w:val="72"/>
    <w:qFormat/>
    <w:uiPriority w:val="0"/>
    <w:rPr>
      <w:rFonts w:ascii="Arial" w:hAnsi="Arial"/>
      <w:sz w:val="24"/>
      <w:szCs w:val="24"/>
    </w:rPr>
  </w:style>
  <w:style w:type="paragraph" w:customStyle="1" w:styleId="72">
    <w:name w:val="普通正文"/>
    <w:basedOn w:val="1"/>
    <w:link w:val="7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3">
    <w:name w:val="mini-outputtext1"/>
    <w:qFormat/>
    <w:uiPriority w:val="0"/>
  </w:style>
  <w:style w:type="character" w:customStyle="1" w:styleId="74">
    <w:name w:val="font31"/>
    <w:qFormat/>
    <w:uiPriority w:val="0"/>
    <w:rPr>
      <w:rFonts w:hint="eastAsia" w:ascii="宋体" w:hAnsi="宋体" w:eastAsia="宋体" w:cs="宋体"/>
      <w:color w:val="000000"/>
      <w:sz w:val="21"/>
      <w:szCs w:val="21"/>
      <w:u w:val="none"/>
    </w:rPr>
  </w:style>
  <w:style w:type="character" w:customStyle="1" w:styleId="75">
    <w:name w:val="font61"/>
    <w:qFormat/>
    <w:uiPriority w:val="0"/>
    <w:rPr>
      <w:rFonts w:hint="default" w:ascii="Times New Roman" w:hAnsi="Times New Roman" w:cs="Times New Roman"/>
      <w:color w:val="000000"/>
      <w:sz w:val="21"/>
      <w:szCs w:val="21"/>
      <w:u w:val="none"/>
    </w:rPr>
  </w:style>
  <w:style w:type="character" w:customStyle="1" w:styleId="76">
    <w:name w:val="font01"/>
    <w:qFormat/>
    <w:uiPriority w:val="0"/>
    <w:rPr>
      <w:rFonts w:hint="default" w:ascii="等线" w:hAnsi="等线" w:eastAsia="等线" w:cs="等线"/>
      <w:color w:val="000000"/>
      <w:sz w:val="22"/>
      <w:szCs w:val="22"/>
      <w:u w:val="none"/>
    </w:rPr>
  </w:style>
  <w:style w:type="character" w:customStyle="1" w:styleId="77">
    <w:name w:val="font51"/>
    <w:qFormat/>
    <w:uiPriority w:val="0"/>
    <w:rPr>
      <w:rFonts w:hint="default" w:ascii="等线" w:hAnsi="等线" w:eastAsia="等线" w:cs="等线"/>
      <w:b/>
      <w:bCs/>
      <w:color w:val="000000"/>
      <w:sz w:val="22"/>
      <w:szCs w:val="22"/>
      <w:u w:val="none"/>
    </w:rPr>
  </w:style>
  <w:style w:type="paragraph" w:customStyle="1" w:styleId="7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79">
    <w:name w:val="页脚 字符"/>
    <w:qFormat/>
    <w:uiPriority w:val="99"/>
  </w:style>
  <w:style w:type="paragraph" w:customStyle="1" w:styleId="80">
    <w:name w:val="正文（缩进）"/>
    <w:basedOn w:val="1"/>
    <w:qFormat/>
    <w:uiPriority w:val="0"/>
    <w:pPr>
      <w:spacing w:before="156" w:after="156"/>
      <w:ind w:firstLine="480"/>
    </w:pPr>
  </w:style>
  <w:style w:type="character" w:customStyle="1" w:styleId="81">
    <w:name w:val="NormalCharacter"/>
    <w:qFormat/>
    <w:uiPriority w:val="99"/>
  </w:style>
  <w:style w:type="paragraph" w:styleId="82">
    <w:name w:val="List Paragraph"/>
    <w:basedOn w:val="1"/>
    <w:qFormat/>
    <w:uiPriority w:val="0"/>
    <w:pPr>
      <w:ind w:firstLine="420" w:firstLineChars="200"/>
    </w:pPr>
    <w:rPr>
      <w:rFonts w:ascii="Calibri" w:hAnsi="Calibri"/>
      <w:szCs w:val="22"/>
    </w:rPr>
  </w:style>
  <w:style w:type="character" w:customStyle="1" w:styleId="83">
    <w:name w:val="font81"/>
    <w:qFormat/>
    <w:uiPriority w:val="0"/>
    <w:rPr>
      <w:rFonts w:hint="eastAsia" w:ascii="宋体" w:hAnsi="宋体" w:eastAsia="宋体" w:cs="宋体"/>
      <w:color w:val="000000"/>
      <w:sz w:val="22"/>
      <w:szCs w:val="22"/>
      <w:u w:val="none"/>
    </w:rPr>
  </w:style>
  <w:style w:type="character" w:customStyle="1" w:styleId="84">
    <w:name w:val="font101"/>
    <w:qFormat/>
    <w:uiPriority w:val="0"/>
    <w:rPr>
      <w:rFonts w:hint="eastAsia" w:ascii="宋体" w:hAnsi="宋体" w:eastAsia="宋体" w:cs="宋体"/>
      <w:color w:val="000000"/>
      <w:sz w:val="21"/>
      <w:szCs w:val="21"/>
      <w:u w:val="none"/>
    </w:rPr>
  </w:style>
  <w:style w:type="character" w:customStyle="1" w:styleId="85">
    <w:name w:val="font91"/>
    <w:qFormat/>
    <w:uiPriority w:val="0"/>
    <w:rPr>
      <w:rFonts w:hint="default" w:ascii="Calibri" w:hAnsi="Calibri" w:cs="Calibri"/>
      <w:color w:val="000000"/>
      <w:sz w:val="21"/>
      <w:szCs w:val="21"/>
      <w:u w:val="none"/>
    </w:rPr>
  </w:style>
  <w:style w:type="paragraph" w:customStyle="1" w:styleId="86">
    <w:name w:val="HtmlNormal"/>
    <w:basedOn w:val="1"/>
    <w:qFormat/>
    <w:uiPriority w:val="0"/>
    <w:pPr>
      <w:jc w:val="left"/>
    </w:pPr>
    <w:rPr>
      <w:kern w:val="0"/>
      <w:sz w:val="24"/>
    </w:rPr>
  </w:style>
  <w:style w:type="paragraph" w:customStyle="1" w:styleId="87">
    <w:name w:val="BodyText"/>
    <w:basedOn w:val="1"/>
    <w:next w:val="1"/>
    <w:qFormat/>
    <w:uiPriority w:val="0"/>
    <w:pPr>
      <w:spacing w:after="120"/>
    </w:pPr>
  </w:style>
  <w:style w:type="paragraph" w:customStyle="1" w:styleId="88">
    <w:name w:val="Table Paragraph"/>
    <w:basedOn w:val="1"/>
    <w:qFormat/>
    <w:uiPriority w:val="1"/>
    <w:rPr>
      <w:rFonts w:ascii="宋体" w:hAnsi="宋体" w:eastAsia="宋体" w:cs="宋体"/>
      <w:lang w:val="zh-CN" w:eastAsia="zh-CN" w:bidi="zh-CN"/>
    </w:rPr>
  </w:style>
  <w:style w:type="paragraph" w:customStyle="1" w:styleId="89">
    <w:name w:val="纯文本1"/>
    <w:basedOn w:val="1"/>
    <w:next w:val="1"/>
    <w:qFormat/>
    <w:uiPriority w:val="0"/>
    <w:rPr>
      <w:rFonts w:ascii="宋体" w:hAnsi="Courier New"/>
      <w:sz w:val="20"/>
      <w:szCs w:val="21"/>
    </w:rPr>
  </w:style>
  <w:style w:type="paragraph" w:customStyle="1" w:styleId="90">
    <w:name w:val="索引 41"/>
    <w:basedOn w:val="1"/>
    <w:next w:val="1"/>
    <w:unhideWhenUsed/>
    <w:qFormat/>
    <w:uiPriority w:val="99"/>
    <w:pPr>
      <w:ind w:left="600"/>
    </w:pPr>
  </w:style>
  <w:style w:type="paragraph" w:customStyle="1" w:styleId="91">
    <w:name w:val="普通(网站)1"/>
    <w:basedOn w:val="1"/>
    <w:qFormat/>
    <w:uiPriority w:val="0"/>
    <w:pPr>
      <w:widowControl/>
      <w:spacing w:before="100" w:beforeAutospacing="1" w:after="100" w:afterAutospacing="1"/>
      <w:jc w:val="left"/>
    </w:pPr>
    <w:rPr>
      <w:rFonts w:ascii="宋体" w:hAnsi="宋体"/>
      <w:color w:val="000000"/>
      <w:sz w:val="24"/>
    </w:rPr>
  </w:style>
  <w:style w:type="paragraph" w:customStyle="1" w:styleId="92">
    <w:name w:val="Body text|1"/>
    <w:basedOn w:val="1"/>
    <w:qFormat/>
    <w:uiPriority w:val="0"/>
    <w:pPr>
      <w:spacing w:line="432" w:lineRule="auto"/>
      <w:ind w:firstLine="280"/>
    </w:pPr>
    <w:rPr>
      <w:rFonts w:ascii="宋体" w:hAnsi="宋体" w:cs="宋体"/>
      <w:sz w:val="17"/>
      <w:szCs w:val="17"/>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13600</Words>
  <Characters>14326</Characters>
  <Lines>100</Lines>
  <Paragraphs>28</Paragraphs>
  <TotalTime>0</TotalTime>
  <ScaleCrop>false</ScaleCrop>
  <LinksUpToDate>false</LinksUpToDate>
  <CharactersWithSpaces>14980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2021-11-26T05:08:00Z</dcterms:created>
  <dc:creator>User</dc:creator>
  <cp:lastModifiedBy>白白</cp:lastModifiedBy>
  <cp:lastPrinted>2024-03-05T01:47:00Z</cp:lastPrinted>
  <dcterms:modified xsi:type="dcterms:W3CDTF">2026-02-27T00:51:05Z</dcterms:modified>
  <dc:title>南通市环境监测中心站火焰原子吸收光谱仪项目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1E8289C568BC43FB9569E777568B3B86_13</vt:lpwstr>
  </property>
  <property fmtid="{D5CDD505-2E9C-101B-9397-08002B2CF9AE}" pid="4" name="KSOTemplateDocerSaveRecord">
    <vt:lpwstr>eyJoZGlkIjoiYWE3YzIyMWEzYjY4NTYyZTRjMTI1Mzg4ZTFmYWE3MjEiLCJ1c2VySWQiOiIzMTIxNDU0OTQifQ==</vt:lpwstr>
  </property>
</Properties>
</file>