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w:t>
      </w:r>
      <w:r>
        <w:rPr>
          <w:rFonts w:hint="eastAsia" w:asciiTheme="minorEastAsia" w:hAnsiTheme="minorEastAsia"/>
          <w:b/>
          <w:spacing w:val="0"/>
          <w:sz w:val="32"/>
          <w:szCs w:val="32"/>
          <w:lang w:val="en-US" w:eastAsia="zh-CN"/>
        </w:rPr>
        <w:t>球</w:t>
      </w:r>
      <w:r>
        <w:rPr>
          <w:rFonts w:hint="eastAsia" w:asciiTheme="minorEastAsia" w:hAnsiTheme="minorEastAsia" w:eastAsiaTheme="minorEastAsia"/>
          <w:b/>
          <w:spacing w:val="0"/>
          <w:sz w:val="32"/>
          <w:szCs w:val="32"/>
          <w:lang w:val="en-US" w:eastAsia="zh-CN"/>
        </w:rPr>
        <w:t>墨井盖及表箱</w:t>
      </w:r>
      <w:r>
        <w:rPr>
          <w:rFonts w:hint="eastAsia" w:asciiTheme="minorEastAsia" w:hAnsiTheme="minorEastAsia"/>
          <w:b/>
          <w:spacing w:val="0"/>
          <w:sz w:val="32"/>
          <w:szCs w:val="32"/>
          <w:lang w:val="en-US" w:eastAsia="zh-CN"/>
        </w:rPr>
        <w:t>2026-2027</w:t>
      </w:r>
      <w:r>
        <w:rPr>
          <w:rFonts w:hint="eastAsia" w:asciiTheme="minorEastAsia" w:hAnsiTheme="minorEastAsia" w:eastAsiaTheme="minorEastAsia"/>
          <w:b/>
          <w:spacing w:val="0"/>
          <w:sz w:val="32"/>
          <w:szCs w:val="32"/>
          <w:lang w:val="en-US" w:eastAsia="zh-CN"/>
        </w:rPr>
        <w:t>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启东市自来水厂有限公司的启东市自来水厂有限公司球墨井盖及表箱2026-2027年度采购项目即将实施，现就该项目进行市场询价调研。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一、采购需求：详见附件《启东市自来水厂有限公司球墨井盖及表箱2026-2027年度采购项目市场询价表》。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w:t>
      </w:r>
      <w:r>
        <w:rPr>
          <w:rFonts w:hint="eastAsia" w:ascii="宋体" w:hAnsi="宋体" w:eastAsia="宋体" w:cs="宋体"/>
          <w:color w:val="auto"/>
          <w:sz w:val="24"/>
          <w:szCs w:val="24"/>
          <w:highlight w:val="none"/>
          <w:lang w:val="en-US" w:eastAsia="zh-CN"/>
        </w:rPr>
        <w:t>万分之四</w:t>
      </w:r>
      <w:r>
        <w:rPr>
          <w:rFonts w:hint="eastAsia" w:ascii="宋体" w:hAnsi="宋体" w:eastAsia="宋体" w:cs="宋体"/>
          <w:color w:val="auto"/>
          <w:sz w:val="24"/>
          <w:szCs w:val="24"/>
          <w:highlight w:val="none"/>
        </w:rPr>
        <w:t>向采购方支付滞纳金，逾期超过15天或在供货期内逾期交货次数累计超过2次的，采购方有权终止本合同，并没收全额履约保证金，并有权要求供货方承担</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default"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参与报价的单位需将</w:t>
      </w:r>
      <w:r>
        <w:rPr>
          <w:rStyle w:val="40"/>
          <w:rFonts w:hint="eastAsia" w:ascii="宋体" w:hAnsi="宋体" w:eastAsia="宋体" w:cs="宋体"/>
          <w:kern w:val="0"/>
          <w:sz w:val="24"/>
          <w:szCs w:val="24"/>
          <w:highlight w:val="none"/>
          <w:lang w:val="en-US" w:eastAsia="zh-CN"/>
        </w:rPr>
        <w:t>有效的</w:t>
      </w:r>
      <w:r>
        <w:rPr>
          <w:rStyle w:val="40"/>
          <w:rFonts w:hint="eastAsia" w:ascii="宋体" w:hAnsi="宋体" w:eastAsia="宋体" w:cs="宋体"/>
          <w:b/>
          <w:bCs/>
          <w:kern w:val="0"/>
          <w:sz w:val="24"/>
          <w:szCs w:val="24"/>
          <w:highlight w:val="none"/>
        </w:rPr>
        <w:t>营业执照复印件和市场询价</w:t>
      </w:r>
      <w:r>
        <w:rPr>
          <w:rStyle w:val="40"/>
          <w:rFonts w:hint="eastAsia" w:ascii="宋体" w:hAnsi="宋体" w:eastAsia="宋体" w:cs="宋体"/>
          <w:b/>
          <w:bCs/>
          <w:kern w:val="0"/>
          <w:sz w:val="24"/>
          <w:szCs w:val="24"/>
          <w:highlight w:val="none"/>
          <w:lang w:val="en-US" w:eastAsia="zh-CN"/>
        </w:rPr>
        <w:t>报价单</w:t>
      </w:r>
      <w:r>
        <w:rPr>
          <w:rStyle w:val="40"/>
          <w:rFonts w:hint="eastAsia" w:ascii="宋体" w:hAnsi="宋体" w:eastAsia="宋体" w:cs="宋体"/>
          <w:kern w:val="0"/>
          <w:sz w:val="24"/>
          <w:szCs w:val="24"/>
          <w:highlight w:val="none"/>
          <w:lang w:val="en-US" w:eastAsia="zh-CN"/>
        </w:rPr>
        <w:t>（含汇总表及分项报价表）</w:t>
      </w:r>
      <w:r>
        <w:rPr>
          <w:rStyle w:val="40"/>
          <w:rFonts w:hint="eastAsia" w:ascii="宋体" w:hAnsi="宋体" w:eastAsia="宋体" w:cs="宋体"/>
          <w:kern w:val="0"/>
          <w:sz w:val="24"/>
          <w:szCs w:val="24"/>
          <w:highlight w:val="none"/>
        </w:rPr>
        <w:t>于202</w:t>
      </w:r>
      <w:bookmarkStart w:id="0" w:name="_GoBack"/>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18</w:t>
      </w:r>
      <w:r>
        <w:rPr>
          <w:rStyle w:val="40"/>
          <w:rFonts w:hint="eastAsia" w:ascii="宋体" w:hAnsi="宋体" w:eastAsia="宋体" w:cs="宋体"/>
          <w:kern w:val="0"/>
          <w:sz w:val="24"/>
          <w:szCs w:val="24"/>
          <w:highlight w:val="none"/>
        </w:rPr>
        <w:t>日</w:t>
      </w:r>
      <w:r>
        <w:rPr>
          <w:rStyle w:val="40"/>
          <w:rFonts w:hint="eastAsia" w:ascii="宋体" w:hAnsi="宋体" w:eastAsia="宋体" w:cs="宋体"/>
          <w:kern w:val="0"/>
          <w:sz w:val="24"/>
          <w:szCs w:val="24"/>
          <w:highlight w:val="none"/>
        </w:rPr>
        <w:t>17:00前</w:t>
      </w:r>
      <w:r>
        <w:rPr>
          <w:rStyle w:val="4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w:t>
      </w:r>
      <w:bookmarkEnd w:id="0"/>
      <w:r>
        <w:rPr>
          <w:rFonts w:hint="eastAsia" w:ascii="宋体" w:hAnsi="宋体" w:eastAsia="宋体" w:cs="宋体"/>
          <w:color w:val="auto"/>
          <w:sz w:val="24"/>
          <w:szCs w:val="24"/>
          <w:highlight w:val="none"/>
        </w:rPr>
        <w:t>（以邮戳为准）或者电子邮箱（以邮件收到时间为准）。送或寄的地址为：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4</w:t>
      </w:r>
      <w:r>
        <w:rPr>
          <w:rStyle w:val="40"/>
          <w:rFonts w:hint="eastAsia" w:ascii="宋体" w:hAnsi="宋体" w:eastAsia="宋体" w:cs="宋体"/>
          <w:color w:val="auto"/>
          <w:kern w:val="0"/>
          <w:sz w:val="24"/>
          <w:szCs w:val="24"/>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eastAsia="zh-CN"/>
        </w:rPr>
        <w:t>（</w:t>
      </w:r>
      <w:r>
        <w:rPr>
          <w:rStyle w:val="40"/>
          <w:rFonts w:hint="eastAsia" w:ascii="宋体" w:hAnsi="宋体" w:eastAsia="宋体" w:cs="宋体"/>
          <w:color w:val="auto"/>
          <w:kern w:val="0"/>
          <w:sz w:val="24"/>
          <w:szCs w:val="24"/>
          <w:highlight w:val="none"/>
          <w:lang w:val="en-US" w:eastAsia="zh-CN"/>
        </w:rPr>
        <w:t>1</w:t>
      </w:r>
      <w:r>
        <w:rPr>
          <w:rStyle w:val="40"/>
          <w:rFonts w:hint="eastAsia" w:ascii="宋体" w:hAnsi="宋体" w:eastAsia="宋体" w:cs="宋体"/>
          <w:color w:val="auto"/>
          <w:kern w:val="0"/>
          <w:sz w:val="24"/>
          <w:szCs w:val="24"/>
          <w:highlight w:val="none"/>
          <w:lang w:eastAsia="zh-CN"/>
        </w:rPr>
        <w:t>）</w:t>
      </w:r>
      <w:r>
        <w:rPr>
          <w:rStyle w:val="40"/>
          <w:rFonts w:hint="eastAsia" w:ascii="宋体" w:hAnsi="宋体" w:eastAsia="宋体" w:cs="宋体"/>
          <w:color w:val="auto"/>
          <w:kern w:val="0"/>
          <w:sz w:val="24"/>
          <w:szCs w:val="24"/>
          <w:highlight w:val="none"/>
        </w:rPr>
        <w:t>本项目采取固定单价报价，各</w:t>
      </w:r>
      <w:r>
        <w:rPr>
          <w:rStyle w:val="40"/>
          <w:rFonts w:hint="eastAsia" w:ascii="宋体" w:hAnsi="宋体" w:eastAsia="宋体" w:cs="宋体"/>
          <w:color w:val="auto"/>
          <w:kern w:val="0"/>
          <w:sz w:val="24"/>
          <w:szCs w:val="24"/>
          <w:highlight w:val="none"/>
          <w:lang w:val="en-US" w:eastAsia="zh-CN"/>
        </w:rPr>
        <w:t>报价</w:t>
      </w:r>
      <w:r>
        <w:rPr>
          <w:rStyle w:val="40"/>
          <w:rFonts w:hint="eastAsia" w:ascii="宋体" w:hAnsi="宋体" w:eastAsia="宋体" w:cs="宋体"/>
          <w:color w:val="auto"/>
          <w:kern w:val="0"/>
          <w:sz w:val="24"/>
          <w:szCs w:val="24"/>
          <w:highlight w:val="none"/>
        </w:rPr>
        <w:t>人</w:t>
      </w:r>
      <w:r>
        <w:rPr>
          <w:rStyle w:val="40"/>
          <w:rFonts w:hint="eastAsia" w:ascii="宋体" w:hAnsi="宋体" w:eastAsia="宋体" w:cs="宋体"/>
          <w:color w:val="auto"/>
          <w:kern w:val="0"/>
          <w:sz w:val="24"/>
          <w:szCs w:val="24"/>
          <w:highlight w:val="none"/>
          <w:lang w:val="en-US" w:eastAsia="zh-CN"/>
        </w:rPr>
        <w:t>需考虑投标时</w:t>
      </w:r>
      <w:r>
        <w:rPr>
          <w:rStyle w:val="40"/>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color w:val="auto"/>
          <w:kern w:val="0"/>
          <w:sz w:val="24"/>
          <w:szCs w:val="24"/>
          <w:highlight w:val="none"/>
          <w:lang w:val="en-US" w:eastAsia="zh-CN"/>
        </w:rPr>
        <w:t>2</w:t>
      </w:r>
      <w:r>
        <w:rPr>
          <w:rStyle w:val="40"/>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color w:val="auto"/>
          <w:kern w:val="0"/>
          <w:sz w:val="24"/>
          <w:szCs w:val="24"/>
          <w:highlight w:val="none"/>
          <w:lang w:val="en-US" w:eastAsia="zh-CN"/>
        </w:rPr>
        <w:t>3</w:t>
      </w:r>
      <w:r>
        <w:rPr>
          <w:rStyle w:val="40"/>
          <w:rFonts w:hint="eastAsia" w:ascii="宋体" w:hAnsi="宋体" w:eastAsia="宋体" w:cs="宋体"/>
          <w:color w:val="auto"/>
          <w:kern w:val="0"/>
          <w:sz w:val="24"/>
          <w:szCs w:val="24"/>
          <w:highlight w:val="none"/>
        </w:rPr>
        <w:t>）投标人的投标报价应</w:t>
      </w:r>
      <w:r>
        <w:rPr>
          <w:rStyle w:val="40"/>
          <w:rFonts w:hint="eastAsia" w:ascii="宋体" w:hAnsi="宋体" w:eastAsia="宋体" w:cs="宋体"/>
          <w:color w:val="auto"/>
          <w:kern w:val="0"/>
          <w:sz w:val="24"/>
          <w:szCs w:val="24"/>
          <w:highlight w:val="none"/>
          <w:lang w:val="en-US" w:eastAsia="zh-CN"/>
        </w:rPr>
        <w:t>包括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0"/>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.拟定</w:t>
      </w:r>
      <w:r>
        <w:rPr>
          <w:rStyle w:val="40"/>
          <w:rFonts w:hint="eastAsia" w:ascii="宋体" w:hAnsi="宋体" w:eastAsia="宋体" w:cs="宋体"/>
          <w:kern w:val="0"/>
          <w:sz w:val="24"/>
          <w:szCs w:val="24"/>
          <w:highlight w:val="none"/>
          <w:lang w:val="en-US" w:eastAsia="zh-CN"/>
        </w:rPr>
        <w:t>付款</w:t>
      </w:r>
      <w:r>
        <w:rPr>
          <w:rStyle w:val="40"/>
          <w:rFonts w:hint="eastAsia" w:ascii="宋体" w:hAnsi="宋体" w:eastAsia="宋体" w:cs="宋体"/>
          <w:kern w:val="0"/>
          <w:sz w:val="24"/>
          <w:szCs w:val="24"/>
          <w:highlight w:val="none"/>
        </w:rPr>
        <w:t>方式</w:t>
      </w:r>
      <w:r>
        <w:rPr>
          <w:rStyle w:val="40"/>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0"/>
          <w:rFonts w:hint="eastAsia" w:ascii="宋体" w:hAnsi="宋体" w:eastAsia="宋体" w:cs="宋体"/>
          <w:kern w:val="0"/>
          <w:sz w:val="24"/>
          <w:szCs w:val="24"/>
          <w:highlight w:val="none"/>
          <w:lang w:val="en-US" w:eastAsia="zh-CN"/>
        </w:rPr>
        <w:t>供货方</w:t>
      </w:r>
      <w:r>
        <w:rPr>
          <w:rStyle w:val="40"/>
          <w:rFonts w:hint="eastAsia" w:ascii="宋体" w:hAnsi="宋体" w:eastAsia="宋体" w:cs="宋体"/>
          <w:kern w:val="0"/>
          <w:sz w:val="24"/>
          <w:szCs w:val="24"/>
          <w:highlight w:val="none"/>
          <w:lang w:eastAsia="zh-CN"/>
        </w:rPr>
        <w:t>相应的增值税专用发票后30天内支付该批订单的90%货款，</w:t>
      </w:r>
      <w:r>
        <w:rPr>
          <w:rStyle w:val="40"/>
          <w:rFonts w:hint="eastAsia" w:ascii="宋体" w:hAnsi="宋体" w:eastAsia="宋体" w:cs="宋体"/>
          <w:kern w:val="0"/>
          <w:sz w:val="24"/>
          <w:szCs w:val="24"/>
          <w:highlight w:val="none"/>
          <w:lang w:val="en-US" w:eastAsia="zh-CN"/>
        </w:rPr>
        <w:t>剩余</w:t>
      </w:r>
      <w:r>
        <w:rPr>
          <w:rStyle w:val="40"/>
          <w:rFonts w:hint="eastAsia" w:ascii="宋体" w:hAnsi="宋体" w:eastAsia="宋体" w:cs="宋体"/>
          <w:kern w:val="0"/>
          <w:sz w:val="24"/>
          <w:szCs w:val="24"/>
          <w:highlight w:val="none"/>
          <w:lang w:eastAsia="zh-CN"/>
        </w:rPr>
        <w:t>10%</w:t>
      </w:r>
      <w:r>
        <w:rPr>
          <w:rStyle w:val="40"/>
          <w:rFonts w:hint="eastAsia" w:ascii="宋体" w:hAnsi="宋体" w:eastAsia="宋体" w:cs="宋体"/>
          <w:kern w:val="0"/>
          <w:sz w:val="24"/>
          <w:szCs w:val="24"/>
          <w:highlight w:val="none"/>
          <w:lang w:val="en-US" w:eastAsia="zh-CN"/>
        </w:rPr>
        <w:t>的货款</w:t>
      </w:r>
      <w:r>
        <w:rPr>
          <w:rStyle w:val="40"/>
          <w:rFonts w:hint="eastAsia" w:ascii="宋体" w:hAnsi="宋体" w:eastAsia="宋体" w:cs="宋体"/>
          <w:kern w:val="0"/>
          <w:sz w:val="24"/>
          <w:szCs w:val="24"/>
          <w:highlight w:val="none"/>
          <w:lang w:eastAsia="zh-CN"/>
        </w:rPr>
        <w:t>于合同期结束满</w:t>
      </w: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lang w:eastAsia="zh-CN"/>
        </w:rPr>
        <w:t>年后，经采购单位认可后一次性结清。</w:t>
      </w:r>
      <w:r>
        <w:rPr>
          <w:rStyle w:val="40"/>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0"/>
          <w:rFonts w:hint="eastAsia" w:ascii="宋体" w:hAnsi="宋体" w:eastAsia="宋体" w:cs="宋体"/>
          <w:kern w:val="0"/>
          <w:sz w:val="24"/>
          <w:szCs w:val="24"/>
          <w:highlight w:val="none"/>
          <w:lang w:val="en-US" w:eastAsia="zh-CN"/>
        </w:rPr>
        <w:t>7</w:t>
      </w:r>
      <w:r>
        <w:rPr>
          <w:rStyle w:val="40"/>
          <w:rFonts w:hint="eastAsia" w:ascii="宋体" w:hAnsi="宋体" w:eastAsia="宋体" w:cs="宋体"/>
          <w:kern w:val="0"/>
          <w:sz w:val="24"/>
          <w:szCs w:val="24"/>
          <w:highlight w:val="none"/>
        </w:rPr>
        <w:t>.其他：</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1</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请报价单位认真核算、如实报价，如发现虚假报价的，该单位今后将</w:t>
      </w:r>
      <w:r>
        <w:rPr>
          <w:rStyle w:val="40"/>
          <w:rFonts w:hint="eastAsia" w:ascii="宋体" w:hAnsi="宋体" w:eastAsia="宋体" w:cs="宋体"/>
          <w:kern w:val="0"/>
          <w:sz w:val="24"/>
          <w:szCs w:val="24"/>
          <w:highlight w:val="none"/>
          <w:lang w:val="en-US" w:eastAsia="zh-CN"/>
        </w:rPr>
        <w:t>记入</w:t>
      </w:r>
      <w:r>
        <w:rPr>
          <w:rStyle w:val="40"/>
          <w:rFonts w:hint="eastAsia" w:ascii="宋体" w:hAnsi="宋体" w:eastAsia="宋体" w:cs="宋体"/>
          <w:kern w:val="0"/>
          <w:sz w:val="24"/>
          <w:szCs w:val="24"/>
          <w:highlight w:val="none"/>
        </w:rPr>
        <w:t>采购</w:t>
      </w:r>
      <w:r>
        <w:rPr>
          <w:rStyle w:val="40"/>
          <w:rFonts w:hint="eastAsia" w:ascii="宋体" w:hAnsi="宋体" w:eastAsia="宋体" w:cs="宋体"/>
          <w:kern w:val="0"/>
          <w:sz w:val="24"/>
          <w:szCs w:val="24"/>
          <w:highlight w:val="none"/>
          <w:lang w:val="en-US" w:eastAsia="zh-CN"/>
        </w:rPr>
        <w:t>人招标市场的黑名单</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本次报价仅作为市场调研用，因此价格仅供参考；</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0"/>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0"/>
          <w:rFonts w:hint="eastAsia" w:ascii="宋体" w:hAnsi="宋体" w:eastAsia="宋体" w:cs="宋体"/>
          <w:kern w:val="0"/>
          <w:sz w:val="24"/>
          <w:szCs w:val="24"/>
          <w:highlight w:val="yellow"/>
          <w:lang w:val="en-US" w:eastAsia="zh-CN" w:bidi="ar-SA"/>
        </w:rPr>
      </w:pPr>
      <w:r>
        <w:rPr>
          <w:rStyle w:val="40"/>
          <w:rFonts w:hint="eastAsia" w:ascii="宋体" w:hAnsi="宋体" w:eastAsia="宋体" w:cs="宋体"/>
          <w:kern w:val="0"/>
          <w:sz w:val="24"/>
          <w:szCs w:val="24"/>
          <w:highlight w:val="none"/>
          <w:lang w:val="en-US" w:eastAsia="zh-CN" w:bidi="ar-SA"/>
        </w:rPr>
        <w:t>2026年3月12日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4D5DF41A">
      <w:pPr>
        <w:pStyle w:val="2"/>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lang w:val="en-US" w:eastAsia="zh-CN"/>
        </w:rPr>
        <w:t>启东市自来水厂有限公司球墨井盖及表箱2026-2027年度采购项目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8"/>
        <w:tblW w:w="10284"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2532"/>
        <w:gridCol w:w="1296"/>
        <w:gridCol w:w="1230"/>
        <w:gridCol w:w="726"/>
        <w:gridCol w:w="792"/>
        <w:gridCol w:w="756"/>
        <w:gridCol w:w="828"/>
        <w:gridCol w:w="888"/>
        <w:gridCol w:w="7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 号</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限定重量不得少于（KG）</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预估用量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报价品牌</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单价        （元）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合计               （元）</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球墨铸铁表箱(重型)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520*300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球墨铸铁表箱(重型)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700*400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球墨铸铁表箱(重型)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ascii="仿宋" w:hAnsi="仿宋" w:eastAsia="仿宋" w:cs="仿宋"/>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900*600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B0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600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球墨铸铁流量箱(重型)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D500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C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球墨铸铁流量箱(重型)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D600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3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72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A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7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球墨铸铁流量箱(重型)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F6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D700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B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D4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2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67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C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23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6DF4FB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3D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0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1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球墨铸铁流量箱(重型)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021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D1000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5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4A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3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6E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7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45EA0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FB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7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大铁阀门箱</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D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水1和水2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35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6E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5B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4E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2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FF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0BC47E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总    价（元）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C1B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8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2、未被“信用中国”、“中国政府采购网”、“信用江苏”网站列入失信被执行人、重大税收违法案件当事人名单、政府采购严重违法失信行为记录名单；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3、对于参加报价的供应商，须具有合法的营业执照；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4、投标人提供投标产品生产厂家的质量管理体系认证证书和环境管理体系认证证书，证书须在有效期内并覆盖本招标产品；</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5、报价人提供的投标货物具有有效的省级及以上质量检测中心出具的性能检验报告；</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6、投标人近三年（自投标截止时间往前推三年，以合同签订时间为准）承担过与本项目类似的业绩（提供相对应的合同及公告发布之日前有效发票原件扫描件加盖公章）。</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614FB1FB">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产品标准</w:t>
            </w:r>
          </w:p>
          <w:p w14:paraId="43512ABE">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球墨井盖承压等级为GB/T 23858-2009国家标准的D级400KN,实际承压为不小于400KN。</w:t>
            </w:r>
          </w:p>
          <w:p w14:paraId="3BD40879">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产品配置</w:t>
            </w:r>
          </w:p>
          <w:p w14:paraId="52A7FB4D">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整套井盖，包含井盖、井框、防震响橡胶垫圈、镀锌碳钢铰链。</w:t>
            </w:r>
          </w:p>
          <w:p w14:paraId="75E0ED74">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技术要求</w:t>
            </w:r>
          </w:p>
          <w:p w14:paraId="14786FE8">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3.1</w:t>
            </w:r>
            <w:r>
              <w:rPr>
                <w:rFonts w:hint="eastAsia" w:ascii="宋体" w:hAnsi="宋体" w:eastAsia="宋体" w:cs="宋体"/>
                <w:b w:val="0"/>
                <w:bCs/>
                <w:color w:val="auto"/>
                <w:sz w:val="24"/>
                <w:szCs w:val="24"/>
                <w:highlight w:val="none"/>
              </w:rPr>
              <w:t>材质要求</w:t>
            </w:r>
          </w:p>
          <w:p w14:paraId="3AF93BFC">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①井盖、井框：采用球墨铸铁作为材料，其标准符合国标QT500-7的要求，球化级别达三级以上。</w:t>
            </w:r>
          </w:p>
          <w:p w14:paraId="2D27C8AC">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②铰链：铰链轴应采用不锈钢材料（连接螺杆采用Φ16不锈钢材质）。</w:t>
            </w:r>
          </w:p>
          <w:p w14:paraId="1FF1BE77">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3.2</w:t>
            </w:r>
            <w:r>
              <w:rPr>
                <w:rFonts w:hint="eastAsia" w:ascii="宋体" w:hAnsi="宋体" w:eastAsia="宋体" w:cs="宋体"/>
                <w:b w:val="0"/>
                <w:bCs/>
                <w:color w:val="auto"/>
                <w:sz w:val="24"/>
                <w:szCs w:val="24"/>
                <w:highlight w:val="none"/>
              </w:rPr>
              <w:t>尺寸要求</w:t>
            </w:r>
          </w:p>
          <w:p w14:paraId="601910CF">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①底座厚度不小于14mm。</w:t>
            </w:r>
          </w:p>
          <w:p w14:paraId="14C56133">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②井座支承面（承托盖板部位）宽度为27mm。</w:t>
            </w:r>
          </w:p>
          <w:p w14:paraId="54E6508D">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③防震响橡胶垫圈的厚度不小于10mm。</w:t>
            </w:r>
          </w:p>
          <w:p w14:paraId="6A207CAB">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3.3</w:t>
            </w:r>
            <w:r>
              <w:rPr>
                <w:rFonts w:hint="eastAsia" w:ascii="宋体" w:hAnsi="宋体" w:eastAsia="宋体" w:cs="宋体"/>
                <w:b w:val="0"/>
                <w:bCs/>
                <w:color w:val="auto"/>
                <w:sz w:val="24"/>
                <w:szCs w:val="24"/>
                <w:highlight w:val="none"/>
              </w:rPr>
              <w:t>构造尺寸</w:t>
            </w:r>
          </w:p>
          <w:p w14:paraId="5687A73C">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①检查井盖表面须加设防滑花纹，盖子花纹面高度不小于3mm，凹凸部分面积与整个面积相比不应小于40%，不应大于70%。</w:t>
            </w:r>
          </w:p>
          <w:p w14:paraId="52F4FB61">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②铰接井盖仰角不应小于120°。</w:t>
            </w:r>
          </w:p>
          <w:p w14:paraId="443A4DC0">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③嵌入深度 ≥50mm。当检查井盖设有锁定装置时，井盖的嵌入深度可不受该条的限制。</w:t>
            </w:r>
          </w:p>
          <w:p w14:paraId="19A3AE8D">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④井盖关闭后与井框之间允许高差为±1.5mm。</w:t>
            </w:r>
          </w:p>
          <w:p w14:paraId="343C4C3B">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⑤总间隙 ＜5mm。</w:t>
            </w:r>
          </w:p>
          <w:p w14:paraId="77B4BC7C">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⑥井盖接触面与支座支承面应进行机械加工，保证井盖与支座接触平稳。</w:t>
            </w:r>
          </w:p>
          <w:p w14:paraId="754EED00">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⑦井盖与支座装配结构尺寸应符合GB/T 42124.3-2025的要求。其公差等级应不低于 GB/T</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6414</w:t>
            </w:r>
            <w:r>
              <w:rPr>
                <w:rFonts w:hint="eastAsia" w:ascii="宋体" w:hAnsi="宋体" w:eastAsia="宋体" w:cs="宋体"/>
                <w:b w:val="0"/>
                <w:bCs/>
                <w:color w:val="auto"/>
                <w:sz w:val="24"/>
                <w:szCs w:val="24"/>
                <w:highlight w:val="none"/>
                <w:lang w:val="en-US" w:eastAsia="zh-CN"/>
              </w:rPr>
              <w:t>-2017</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D</w:t>
            </w:r>
            <w:r>
              <w:rPr>
                <w:rFonts w:hint="eastAsia" w:ascii="宋体" w:hAnsi="宋体" w:eastAsia="宋体" w:cs="宋体"/>
                <w:b w:val="0"/>
                <w:bCs/>
                <w:color w:val="auto"/>
                <w:sz w:val="24"/>
                <w:szCs w:val="24"/>
                <w:highlight w:val="none"/>
              </w:rPr>
              <w:t>CT</w:t>
            </w:r>
            <w:r>
              <w:rPr>
                <w:rFonts w:hint="eastAsia" w:ascii="宋体" w:hAnsi="宋体" w:eastAsia="宋体" w:cs="宋体"/>
                <w:b w:val="0"/>
                <w:bCs/>
                <w:color w:val="auto"/>
                <w:sz w:val="24"/>
                <w:szCs w:val="24"/>
                <w:highlight w:val="none"/>
                <w:lang w:val="en-US" w:eastAsia="zh-CN"/>
              </w:rPr>
              <w:t>G</w:t>
            </w:r>
            <w:r>
              <w:rPr>
                <w:rFonts w:hint="eastAsia" w:ascii="宋体" w:hAnsi="宋体" w:eastAsia="宋体" w:cs="宋体"/>
                <w:b w:val="0"/>
                <w:bCs/>
                <w:color w:val="auto"/>
                <w:sz w:val="24"/>
                <w:szCs w:val="24"/>
                <w:highlight w:val="none"/>
              </w:rPr>
              <w:t>10的规定并保证同型号检查井盖的井盖与支座可互换。</w:t>
            </w:r>
          </w:p>
          <w:p w14:paraId="38D7FC48">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外观要求</w:t>
            </w:r>
          </w:p>
          <w:p w14:paraId="731014A0">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检查井盖座出炉后要求退火消除应力，外表面应光洁，花纹、标记及字标清晰无缺损，无多余部分、无毛刺、无锋利边缘、无曲翘变形、无缩瘪、无龟裂，不得有裂纹或影响产品性能的冷隔、鼓包、砂眼等缺陷，不得补焊。</w:t>
            </w:r>
          </w:p>
          <w:p w14:paraId="6AAB9C86">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②框与盖闭合后，顶部应平齐，盖接触面、框支承面以及防震响橡胶垫圈表面应平整、光滑。</w:t>
            </w:r>
          </w:p>
          <w:p w14:paraId="51E09A8C">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③井盖表面必须经过喷涂防锈环氧树脂或沥青漆等防锈处理。</w:t>
            </w:r>
          </w:p>
          <w:p w14:paraId="31877567">
            <w:pPr>
              <w:pStyle w:val="17"/>
              <w:spacing w:after="0" w:line="240" w:lineRule="auto"/>
              <w:ind w:left="0" w:leftChars="0" w:firstLine="56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④井盖上须设1个开启孔，便于用拉钩等工具开启。</w:t>
            </w:r>
          </w:p>
          <w:p w14:paraId="7793A5D0">
            <w:pPr>
              <w:pStyle w:val="17"/>
              <w:spacing w:after="0" w:line="240" w:lineRule="auto"/>
              <w:ind w:left="0" w:leftChars="0" w:firstLine="56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⑤</w:t>
            </w:r>
            <w:r>
              <w:rPr>
                <w:rFonts w:hint="eastAsia" w:ascii="宋体" w:hAnsi="宋体" w:eastAsia="宋体" w:cs="宋体"/>
                <w:b/>
                <w:bCs w:val="0"/>
                <w:color w:val="auto"/>
                <w:sz w:val="24"/>
                <w:szCs w:val="24"/>
                <w:highlight w:val="none"/>
                <w:lang w:val="en-US" w:eastAsia="zh-CN"/>
              </w:rPr>
              <w:t>所有井盖及表箱均需加装静音条。</w:t>
            </w:r>
          </w:p>
          <w:p w14:paraId="373D1D46">
            <w:pPr>
              <w:pStyle w:val="17"/>
              <w:spacing w:after="0" w:line="240" w:lineRule="auto"/>
              <w:ind w:left="0" w:leftChars="0" w:firstLine="56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3.5大铁阀门箱尺寸及图片</w:t>
            </w:r>
          </w:p>
          <w:p w14:paraId="216515EA">
            <w:pPr>
              <w:pStyle w:val="17"/>
              <w:spacing w:after="0" w:line="240" w:lineRule="auto"/>
              <w:ind w:left="0" w:leftChars="0" w:firstLine="56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inline distT="0" distB="0" distL="114300" distR="114300">
                  <wp:extent cx="3000375" cy="1552575"/>
                  <wp:effectExtent l="0" t="0" r="9525" b="9525"/>
                  <wp:docPr id="1" name="图片 1" descr="467a9438eb43be0268a56ea015b12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7a9438eb43be0268a56ea015b128d9"/>
                          <pic:cNvPicPr>
                            <a:picLocks noChangeAspect="1"/>
                          </pic:cNvPicPr>
                        </pic:nvPicPr>
                        <pic:blipFill>
                          <a:blip r:embed="rId5"/>
                          <a:stretch>
                            <a:fillRect/>
                          </a:stretch>
                        </pic:blipFill>
                        <pic:spPr>
                          <a:xfrm>
                            <a:off x="0" y="0"/>
                            <a:ext cx="3000375" cy="1552575"/>
                          </a:xfrm>
                          <a:prstGeom prst="rect">
                            <a:avLst/>
                          </a:prstGeom>
                        </pic:spPr>
                      </pic:pic>
                    </a:graphicData>
                  </a:graphic>
                </wp:inline>
              </w:drawing>
            </w:r>
          </w:p>
          <w:p w14:paraId="095B1D19">
            <w:pPr>
              <w:pStyle w:val="17"/>
              <w:spacing w:after="0" w:line="240" w:lineRule="auto"/>
              <w:ind w:left="0" w:leftChars="0" w:firstLine="562"/>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inline distT="0" distB="0" distL="114300" distR="114300">
                  <wp:extent cx="1675765" cy="2235835"/>
                  <wp:effectExtent l="0" t="0" r="635" b="12065"/>
                  <wp:docPr id="2" name="图片 2" descr="dcd651bb370d59a906a661db4b7f0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651bb370d59a906a661db4b7f0e76"/>
                          <pic:cNvPicPr>
                            <a:picLocks noChangeAspect="1"/>
                          </pic:cNvPicPr>
                        </pic:nvPicPr>
                        <pic:blipFill>
                          <a:blip r:embed="rId6"/>
                          <a:stretch>
                            <a:fillRect/>
                          </a:stretch>
                        </pic:blipFill>
                        <pic:spPr>
                          <a:xfrm>
                            <a:off x="0" y="0"/>
                            <a:ext cx="1675765" cy="2235835"/>
                          </a:xfrm>
                          <a:prstGeom prst="rect">
                            <a:avLst/>
                          </a:prstGeom>
                        </pic:spPr>
                      </pic:pic>
                    </a:graphicData>
                  </a:graphic>
                </wp:inline>
              </w:drawing>
            </w:r>
          </w:p>
          <w:p w14:paraId="27D098F1">
            <w:pPr>
              <w:pStyle w:val="17"/>
              <w:spacing w:after="0" w:line="240" w:lineRule="auto"/>
              <w:ind w:left="0" w:leftChars="0"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注：①所有技术参数和相关要求必须符合GB/T 23858-2009中的规定。</w:t>
            </w:r>
          </w:p>
          <w:p w14:paraId="0C557575">
            <w:pPr>
              <w:pStyle w:val="17"/>
              <w:spacing w:after="0" w:line="240" w:lineRule="auto"/>
              <w:ind w:left="0" w:leftChars="0"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②所有井盖均需根据采购方要求加刻“启东水司”和“0513-12345”字样。</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四、本项目参考品牌：繁荣铸造牌（沧州）、兴昌盛牌（南通）、辰龙牌（江苏徐州）、飞龙盖安牌(安徽）、永能牌（浙江），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江海中路579号建都大厦2号楼三楼，联系人：俞女士，联系电话：0513-83721688,电子邮箱地址为：872292813@qq.com ）。                                                                                            </w:t>
            </w:r>
          </w:p>
        </w:tc>
      </w:tr>
    </w:tbl>
    <w:p w14:paraId="3D7315F2">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24DE4"/>
    <w:rsid w:val="02004145"/>
    <w:rsid w:val="0215722A"/>
    <w:rsid w:val="03EC63FF"/>
    <w:rsid w:val="04167BE0"/>
    <w:rsid w:val="04FE1868"/>
    <w:rsid w:val="055210FB"/>
    <w:rsid w:val="060F014D"/>
    <w:rsid w:val="06C9698C"/>
    <w:rsid w:val="06DE411B"/>
    <w:rsid w:val="081F710D"/>
    <w:rsid w:val="08767CBA"/>
    <w:rsid w:val="08FF471C"/>
    <w:rsid w:val="09CE1802"/>
    <w:rsid w:val="0ADA1283"/>
    <w:rsid w:val="0B837613"/>
    <w:rsid w:val="0C807FF6"/>
    <w:rsid w:val="0C922E30"/>
    <w:rsid w:val="0D18108F"/>
    <w:rsid w:val="0D2E723D"/>
    <w:rsid w:val="0D8E4DA2"/>
    <w:rsid w:val="0D9A7247"/>
    <w:rsid w:val="0E817A02"/>
    <w:rsid w:val="0EE36B7D"/>
    <w:rsid w:val="0F0243F5"/>
    <w:rsid w:val="0F647E59"/>
    <w:rsid w:val="0F6618B1"/>
    <w:rsid w:val="0FC62580"/>
    <w:rsid w:val="108154AD"/>
    <w:rsid w:val="12EA747F"/>
    <w:rsid w:val="13121E77"/>
    <w:rsid w:val="13455F77"/>
    <w:rsid w:val="14AA41AE"/>
    <w:rsid w:val="15B72A35"/>
    <w:rsid w:val="15BF56EC"/>
    <w:rsid w:val="15C50828"/>
    <w:rsid w:val="15DD5B72"/>
    <w:rsid w:val="17F76651"/>
    <w:rsid w:val="1803207B"/>
    <w:rsid w:val="183C6614"/>
    <w:rsid w:val="1A850712"/>
    <w:rsid w:val="1B7C384E"/>
    <w:rsid w:val="1B932687"/>
    <w:rsid w:val="1BCA6B98"/>
    <w:rsid w:val="1CAC06B2"/>
    <w:rsid w:val="1DC53ABB"/>
    <w:rsid w:val="1E8B21FB"/>
    <w:rsid w:val="216435EB"/>
    <w:rsid w:val="21B700C7"/>
    <w:rsid w:val="221847B8"/>
    <w:rsid w:val="2262713B"/>
    <w:rsid w:val="228D26CE"/>
    <w:rsid w:val="22CA2753"/>
    <w:rsid w:val="240E2A35"/>
    <w:rsid w:val="24BA1822"/>
    <w:rsid w:val="251A293E"/>
    <w:rsid w:val="257C6C31"/>
    <w:rsid w:val="270B5BBD"/>
    <w:rsid w:val="27B57E67"/>
    <w:rsid w:val="2940272E"/>
    <w:rsid w:val="2A1D31BA"/>
    <w:rsid w:val="2B54029B"/>
    <w:rsid w:val="2CEF3FB8"/>
    <w:rsid w:val="2ED5212C"/>
    <w:rsid w:val="30552FD2"/>
    <w:rsid w:val="309803CF"/>
    <w:rsid w:val="30C90D87"/>
    <w:rsid w:val="30F33128"/>
    <w:rsid w:val="322A22B1"/>
    <w:rsid w:val="32A3368D"/>
    <w:rsid w:val="34AF2977"/>
    <w:rsid w:val="34EE137C"/>
    <w:rsid w:val="36F07953"/>
    <w:rsid w:val="3885236D"/>
    <w:rsid w:val="391E3890"/>
    <w:rsid w:val="39861E3E"/>
    <w:rsid w:val="39C40C73"/>
    <w:rsid w:val="39F4311D"/>
    <w:rsid w:val="3AF066C3"/>
    <w:rsid w:val="3BEA51F5"/>
    <w:rsid w:val="3C0733A8"/>
    <w:rsid w:val="3C6A6406"/>
    <w:rsid w:val="3D2C0ADF"/>
    <w:rsid w:val="3E1E176E"/>
    <w:rsid w:val="3E202F15"/>
    <w:rsid w:val="3E9078C4"/>
    <w:rsid w:val="3FD55619"/>
    <w:rsid w:val="404B6C28"/>
    <w:rsid w:val="420951A2"/>
    <w:rsid w:val="424A7A77"/>
    <w:rsid w:val="42875CFB"/>
    <w:rsid w:val="42C92294"/>
    <w:rsid w:val="43132246"/>
    <w:rsid w:val="43B33617"/>
    <w:rsid w:val="45FA78C3"/>
    <w:rsid w:val="460927E6"/>
    <w:rsid w:val="47675677"/>
    <w:rsid w:val="48F53072"/>
    <w:rsid w:val="49153299"/>
    <w:rsid w:val="494621F7"/>
    <w:rsid w:val="4B0F33A3"/>
    <w:rsid w:val="4C504DA4"/>
    <w:rsid w:val="4C7F348C"/>
    <w:rsid w:val="4CA44F5B"/>
    <w:rsid w:val="4ECA68D4"/>
    <w:rsid w:val="4F25246D"/>
    <w:rsid w:val="50EA7F43"/>
    <w:rsid w:val="50F06B23"/>
    <w:rsid w:val="513973A6"/>
    <w:rsid w:val="51ED6A4B"/>
    <w:rsid w:val="52300D6A"/>
    <w:rsid w:val="52304CA0"/>
    <w:rsid w:val="54F36E09"/>
    <w:rsid w:val="558820D0"/>
    <w:rsid w:val="57346FE0"/>
    <w:rsid w:val="57F83763"/>
    <w:rsid w:val="595B4E18"/>
    <w:rsid w:val="59AA3524"/>
    <w:rsid w:val="59DB49CF"/>
    <w:rsid w:val="5A3B2D3C"/>
    <w:rsid w:val="5A683FFF"/>
    <w:rsid w:val="5AA769EB"/>
    <w:rsid w:val="5B546ADF"/>
    <w:rsid w:val="5B702506"/>
    <w:rsid w:val="5C436904"/>
    <w:rsid w:val="5C664E8E"/>
    <w:rsid w:val="5DBF29C4"/>
    <w:rsid w:val="5DF00521"/>
    <w:rsid w:val="5E1A0B58"/>
    <w:rsid w:val="5F5E0F4F"/>
    <w:rsid w:val="60F55697"/>
    <w:rsid w:val="629E63D3"/>
    <w:rsid w:val="62D85246"/>
    <w:rsid w:val="631F5A7F"/>
    <w:rsid w:val="63F819E8"/>
    <w:rsid w:val="641454FD"/>
    <w:rsid w:val="650B263E"/>
    <w:rsid w:val="662752EF"/>
    <w:rsid w:val="66811B16"/>
    <w:rsid w:val="66DD5F97"/>
    <w:rsid w:val="6723497B"/>
    <w:rsid w:val="676C60FB"/>
    <w:rsid w:val="68BA0755"/>
    <w:rsid w:val="68E65C61"/>
    <w:rsid w:val="693F2885"/>
    <w:rsid w:val="69A77C3B"/>
    <w:rsid w:val="6B342BA7"/>
    <w:rsid w:val="6BA17ED9"/>
    <w:rsid w:val="6CF54EC6"/>
    <w:rsid w:val="6D983C19"/>
    <w:rsid w:val="6F8F0EBD"/>
    <w:rsid w:val="6FB438A3"/>
    <w:rsid w:val="701F75C9"/>
    <w:rsid w:val="703F45D4"/>
    <w:rsid w:val="708F5A33"/>
    <w:rsid w:val="71072C9F"/>
    <w:rsid w:val="724D47CD"/>
    <w:rsid w:val="73657962"/>
    <w:rsid w:val="736E263D"/>
    <w:rsid w:val="73F3271F"/>
    <w:rsid w:val="750202C6"/>
    <w:rsid w:val="755D5634"/>
    <w:rsid w:val="7638442C"/>
    <w:rsid w:val="77471FC0"/>
    <w:rsid w:val="77A450BA"/>
    <w:rsid w:val="786F5C73"/>
    <w:rsid w:val="78937BBC"/>
    <w:rsid w:val="79427575"/>
    <w:rsid w:val="79852FF6"/>
    <w:rsid w:val="79915775"/>
    <w:rsid w:val="79CB0C87"/>
    <w:rsid w:val="7AB83901"/>
    <w:rsid w:val="7ACC2155"/>
    <w:rsid w:val="7AEB3E1D"/>
    <w:rsid w:val="7C156B31"/>
    <w:rsid w:val="7C5E095D"/>
    <w:rsid w:val="7CB80EEC"/>
    <w:rsid w:val="7D105E6B"/>
    <w:rsid w:val="7D1C36F2"/>
    <w:rsid w:val="7D7004C3"/>
    <w:rsid w:val="7DB32A41"/>
    <w:rsid w:val="7DD66E82"/>
    <w:rsid w:val="7F073D9A"/>
    <w:rsid w:val="7F0B578D"/>
    <w:rsid w:val="7F131561"/>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9"/>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800080"/>
      <w:u w:val="none"/>
    </w:rPr>
  </w:style>
  <w:style w:type="character" w:styleId="23">
    <w:name w:val="HTML Definition"/>
    <w:basedOn w:val="20"/>
    <w:semiHidden/>
    <w:unhideWhenUsed/>
    <w:qFormat/>
    <w:uiPriority w:val="99"/>
  </w:style>
  <w:style w:type="character" w:styleId="24">
    <w:name w:val="HTML Typewriter"/>
    <w:basedOn w:val="20"/>
    <w:semiHidden/>
    <w:unhideWhenUsed/>
    <w:qFormat/>
    <w:uiPriority w:val="99"/>
    <w:rPr>
      <w:rFonts w:ascii="monospace" w:hAnsi="monospace" w:eastAsia="monospace" w:cs="monospace"/>
      <w:sz w:val="20"/>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semiHidden/>
    <w:unhideWhenUsed/>
    <w:qFormat/>
    <w:uiPriority w:val="99"/>
    <w:rPr>
      <w:color w:val="0000FF"/>
      <w:u w:val="none"/>
    </w:rPr>
  </w:style>
  <w:style w:type="character" w:styleId="28">
    <w:name w:val="HTML Code"/>
    <w:basedOn w:val="20"/>
    <w:semiHidden/>
    <w:unhideWhenUsed/>
    <w:qFormat/>
    <w:uiPriority w:val="99"/>
    <w:rPr>
      <w:rFonts w:hint="default" w:ascii="monospace" w:hAnsi="monospace" w:eastAsia="monospace" w:cs="monospace"/>
      <w:sz w:val="20"/>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hint="default" w:ascii="monospace" w:hAnsi="monospace" w:eastAsia="monospace" w:cs="monospace"/>
      <w:sz w:val="20"/>
    </w:rPr>
  </w:style>
  <w:style w:type="character" w:styleId="31">
    <w:name w:val="HTML Sample"/>
    <w:basedOn w:val="20"/>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1 Char"/>
    <w:basedOn w:val="20"/>
    <w:link w:val="3"/>
    <w:autoRedefine/>
    <w:qFormat/>
    <w:uiPriority w:val="9"/>
    <w:rPr>
      <w:b/>
      <w:bCs/>
      <w:kern w:val="44"/>
      <w:sz w:val="44"/>
      <w:szCs w:val="44"/>
    </w:rPr>
  </w:style>
  <w:style w:type="character" w:customStyle="1" w:styleId="34">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35">
    <w:name w:val="标题 3 Char"/>
    <w:basedOn w:val="20"/>
    <w:link w:val="5"/>
    <w:autoRedefine/>
    <w:qFormat/>
    <w:uiPriority w:val="9"/>
    <w:rPr>
      <w:b/>
      <w:bCs/>
      <w:sz w:val="32"/>
      <w:szCs w:val="32"/>
    </w:rPr>
  </w:style>
  <w:style w:type="character" w:customStyle="1" w:styleId="36">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37">
    <w:name w:val="标题 5 Char"/>
    <w:basedOn w:val="20"/>
    <w:link w:val="7"/>
    <w:autoRedefine/>
    <w:qFormat/>
    <w:uiPriority w:val="9"/>
    <w:rPr>
      <w:b/>
      <w:bCs/>
      <w:sz w:val="28"/>
      <w:szCs w:val="28"/>
    </w:rPr>
  </w:style>
  <w:style w:type="character" w:customStyle="1" w:styleId="38">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39">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40">
    <w:name w:val="NormalCharacter"/>
    <w:autoRedefine/>
    <w:qFormat/>
    <w:uiPriority w:val="99"/>
  </w:style>
  <w:style w:type="character" w:customStyle="1" w:styleId="41">
    <w:name w:val="font21"/>
    <w:basedOn w:val="20"/>
    <w:autoRedefine/>
    <w:qFormat/>
    <w:uiPriority w:val="0"/>
    <w:rPr>
      <w:rFonts w:hint="eastAsia" w:ascii="宋体" w:hAnsi="宋体" w:eastAsia="宋体" w:cs="宋体"/>
      <w:color w:val="000000"/>
      <w:sz w:val="20"/>
      <w:szCs w:val="20"/>
      <w:u w:val="none"/>
    </w:rPr>
  </w:style>
  <w:style w:type="character" w:customStyle="1" w:styleId="42">
    <w:name w:val="font41"/>
    <w:basedOn w:val="20"/>
    <w:qFormat/>
    <w:uiPriority w:val="0"/>
    <w:rPr>
      <w:rFonts w:ascii="Arial" w:hAnsi="Arial" w:cs="Arial"/>
      <w:color w:val="000000"/>
      <w:sz w:val="24"/>
      <w:szCs w:val="24"/>
      <w:u w:val="none"/>
    </w:rPr>
  </w:style>
  <w:style w:type="character" w:customStyle="1" w:styleId="43">
    <w:name w:val="hover"/>
    <w:basedOn w:val="20"/>
    <w:qFormat/>
    <w:uiPriority w:val="0"/>
    <w:rPr>
      <w:color w:val="5FB878"/>
    </w:rPr>
  </w:style>
  <w:style w:type="character" w:customStyle="1" w:styleId="44">
    <w:name w:val="hover1"/>
    <w:basedOn w:val="20"/>
    <w:qFormat/>
    <w:uiPriority w:val="0"/>
    <w:rPr>
      <w:color w:val="5FB878"/>
    </w:rPr>
  </w:style>
  <w:style w:type="character" w:customStyle="1" w:styleId="45">
    <w:name w:val="hover2"/>
    <w:basedOn w:val="20"/>
    <w:qFormat/>
    <w:uiPriority w:val="0"/>
    <w:rPr>
      <w:color w:val="FFFFFF"/>
    </w:rPr>
  </w:style>
  <w:style w:type="character" w:customStyle="1" w:styleId="46">
    <w:name w:val="layui-this"/>
    <w:basedOn w:val="20"/>
    <w:qFormat/>
    <w:uiPriority w:val="0"/>
    <w:rPr>
      <w:bdr w:val="single" w:color="EEEEEE" w:sz="6" w:space="0"/>
      <w:shd w:val="clear" w:fill="FFFFFF"/>
    </w:rPr>
  </w:style>
  <w:style w:type="character" w:customStyle="1" w:styleId="47">
    <w:name w:val="first-child"/>
    <w:basedOn w:val="2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2632</Words>
  <Characters>2925</Characters>
  <Lines>39</Lines>
  <Paragraphs>10</Paragraphs>
  <TotalTime>33</TotalTime>
  <ScaleCrop>false</ScaleCrop>
  <LinksUpToDate>false</LinksUpToDate>
  <CharactersWithSpaces>3102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2026-03-06T03:19:00Z</cp:lastPrinted>
  <dcterms:modified xsi:type="dcterms:W3CDTF">2026-03-11T09:20:07Z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