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E190">
      <w:pPr>
        <w:jc w:val="center"/>
        <w:rPr>
          <w:rFonts w:hint="default"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启东市自来水厂有限公司薄壁不锈钢管及管件2026-2027年度采购项目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启东市自来水厂有限公司的启东市自来水厂有限公司薄壁不锈钢管及管件2026-2027年度采购项目即将实施，现就该项目进行市场询价调研。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一、采购需求：</w:t>
      </w:r>
      <w:r>
        <w:rPr>
          <w:rFonts w:hint="eastAsia" w:ascii="宋体" w:hAnsi="宋体" w:eastAsia="宋体" w:cs="宋体"/>
          <w:sz w:val="24"/>
          <w:szCs w:val="24"/>
          <w:lang w:val="en-US" w:eastAsia="zh-CN"/>
        </w:rPr>
        <w:t>详见附件《</w:t>
      </w:r>
      <w:r>
        <w:rPr>
          <w:rFonts w:hint="eastAsia" w:ascii="宋体" w:hAnsi="宋体" w:eastAsia="宋体"/>
          <w:sz w:val="24"/>
          <w:szCs w:val="24"/>
          <w:lang w:val="en-US" w:eastAsia="zh-CN"/>
        </w:rPr>
        <w:t>启东市自来水厂有限公司薄壁不锈钢管及管件2026-2027年度采购清单</w:t>
      </w:r>
      <w:r>
        <w:rPr>
          <w:rFonts w:hint="eastAsia" w:ascii="宋体" w:hAnsi="宋体" w:eastAsia="宋体" w:cs="宋体"/>
          <w:sz w:val="24"/>
          <w:szCs w:val="24"/>
          <w:lang w:val="en-US" w:eastAsia="zh-CN"/>
        </w:rPr>
        <w:t>》。</w:t>
      </w:r>
    </w:p>
    <w:p w14:paraId="2D1BEE90">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80" w:lineRule="exact"/>
        <w:ind w:right="0" w:rightChars="0" w:firstLine="482" w:firstLineChars="200"/>
        <w:jc w:val="both"/>
        <w:textAlignment w:val="auto"/>
        <w:rPr>
          <w:rFonts w:hint="default" w:cs="宋体"/>
          <w:b/>
          <w:bCs/>
          <w:color w:val="000000"/>
          <w:sz w:val="24"/>
          <w:szCs w:val="24"/>
          <w:lang w:val="en-US" w:eastAsia="zh-CN"/>
        </w:rPr>
      </w:pPr>
      <w:r>
        <w:rPr>
          <w:rFonts w:hint="eastAsia" w:cs="宋体"/>
          <w:b/>
          <w:bCs/>
          <w:color w:val="000000"/>
          <w:sz w:val="24"/>
          <w:szCs w:val="24"/>
          <w:lang w:val="en-US" w:eastAsia="zh-CN"/>
        </w:rPr>
        <w:t>二、技术要求</w:t>
      </w:r>
    </w:p>
    <w:p w14:paraId="6E080CE9">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80" w:lineRule="exact"/>
        <w:ind w:right="0" w:rightChars="0" w:firstLine="482" w:firstLineChars="200"/>
        <w:jc w:val="both"/>
        <w:textAlignment w:val="auto"/>
        <w:rPr>
          <w:rFonts w:hint="eastAsia" w:ascii="宋体" w:hAnsi="宋体" w:eastAsia="宋体" w:cs="宋体"/>
          <w:b/>
          <w:bCs/>
          <w:kern w:val="0"/>
          <w:sz w:val="24"/>
          <w:szCs w:val="24"/>
        </w:rPr>
      </w:pPr>
      <w:r>
        <w:rPr>
          <w:rFonts w:hint="eastAsia" w:cs="宋体"/>
          <w:b/>
          <w:bCs/>
          <w:color w:val="000000"/>
          <w:sz w:val="24"/>
          <w:szCs w:val="24"/>
          <w:lang w:val="en-US" w:eastAsia="zh-CN"/>
        </w:rPr>
        <w:t>（一）</w:t>
      </w:r>
      <w:r>
        <w:rPr>
          <w:rFonts w:hint="eastAsia" w:ascii="宋体" w:hAnsi="宋体" w:eastAsia="宋体" w:cs="宋体"/>
          <w:b/>
          <w:bCs/>
          <w:kern w:val="0"/>
          <w:sz w:val="24"/>
          <w:szCs w:val="24"/>
          <w:lang w:val="en-US" w:eastAsia="zh-CN" w:bidi="ar"/>
        </w:rPr>
        <w:t>薄壁不锈钢管及配件及管件技术要求</w:t>
      </w:r>
    </w:p>
    <w:p w14:paraId="53D9E73B">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lang w:val="en-US" w:eastAsia="zh-CN" w:bidi="ar"/>
        </w:rPr>
        <w:t>1、</w:t>
      </w:r>
      <w:r>
        <w:rPr>
          <w:rFonts w:hint="eastAsia" w:ascii="宋体" w:hAnsi="宋体" w:eastAsia="宋体" w:cs="宋体"/>
          <w:bCs/>
          <w:kern w:val="0"/>
          <w:sz w:val="24"/>
          <w:szCs w:val="24"/>
          <w:highlight w:val="none"/>
          <w:lang w:val="en-US" w:eastAsia="zh-CN" w:bidi="ar"/>
        </w:rPr>
        <w:t>所有产品必须满足于现行以下国家执行标准：</w:t>
      </w:r>
    </w:p>
    <w:p w14:paraId="392F5C06">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①《流体输送用不锈钢焊接钢管》GB/T 12771-2019</w:t>
      </w:r>
    </w:p>
    <w:p w14:paraId="4E15497F">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default"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②《不锈钢卡压式管件组</w:t>
      </w:r>
      <w:r>
        <w:rPr>
          <w:rFonts w:hint="eastAsia" w:cs="宋体"/>
          <w:bCs/>
          <w:kern w:val="0"/>
          <w:sz w:val="24"/>
          <w:szCs w:val="24"/>
          <w:highlight w:val="none"/>
          <w:lang w:val="en-US" w:eastAsia="zh-CN" w:bidi="ar"/>
        </w:rPr>
        <w:t>件</w:t>
      </w:r>
      <w:r>
        <w:rPr>
          <w:rFonts w:hint="eastAsia" w:ascii="宋体" w:hAnsi="宋体" w:eastAsia="宋体" w:cs="宋体"/>
          <w:bCs/>
          <w:kern w:val="0"/>
          <w:sz w:val="24"/>
          <w:szCs w:val="24"/>
          <w:highlight w:val="none"/>
          <w:lang w:val="en-US" w:eastAsia="zh-CN" w:bidi="ar"/>
        </w:rPr>
        <w:t xml:space="preserve"> 第1部分：卡压式管件》GB/T 19228.1-</w:t>
      </w:r>
      <w:r>
        <w:rPr>
          <w:rFonts w:hint="eastAsia" w:cs="宋体"/>
          <w:bCs/>
          <w:kern w:val="0"/>
          <w:sz w:val="24"/>
          <w:szCs w:val="24"/>
          <w:highlight w:val="none"/>
          <w:lang w:val="en-US" w:eastAsia="zh-CN" w:bidi="ar"/>
        </w:rPr>
        <w:t>2024</w:t>
      </w:r>
    </w:p>
    <w:p w14:paraId="6B859C09">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《不锈钢卡压式管件组</w:t>
      </w:r>
      <w:r>
        <w:rPr>
          <w:rFonts w:hint="eastAsia" w:cs="宋体"/>
          <w:bCs/>
          <w:kern w:val="0"/>
          <w:sz w:val="24"/>
          <w:szCs w:val="24"/>
          <w:highlight w:val="none"/>
          <w:lang w:val="en-US" w:eastAsia="zh-CN" w:bidi="ar"/>
        </w:rPr>
        <w:t>件</w:t>
      </w:r>
      <w:r>
        <w:rPr>
          <w:rFonts w:hint="eastAsia" w:ascii="宋体" w:hAnsi="宋体" w:eastAsia="宋体" w:cs="宋体"/>
          <w:bCs/>
          <w:kern w:val="0"/>
          <w:sz w:val="24"/>
          <w:szCs w:val="24"/>
          <w:highlight w:val="none"/>
          <w:lang w:val="en-US" w:eastAsia="zh-CN" w:bidi="ar"/>
        </w:rPr>
        <w:t xml:space="preserve">  第2部分：连接用薄壁不锈钢管》GB/T 19228.2-2011</w:t>
      </w:r>
    </w:p>
    <w:p w14:paraId="1E753580">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《不锈钢卡压式管件组</w:t>
      </w:r>
      <w:r>
        <w:rPr>
          <w:rFonts w:hint="eastAsia" w:cs="宋体"/>
          <w:bCs/>
          <w:kern w:val="0"/>
          <w:sz w:val="24"/>
          <w:szCs w:val="24"/>
          <w:highlight w:val="none"/>
          <w:lang w:val="en-US" w:eastAsia="zh-CN" w:bidi="ar"/>
        </w:rPr>
        <w:t>件</w:t>
      </w:r>
      <w:r>
        <w:rPr>
          <w:rFonts w:hint="eastAsia" w:ascii="宋体" w:hAnsi="宋体" w:eastAsia="宋体" w:cs="宋体"/>
          <w:bCs/>
          <w:kern w:val="0"/>
          <w:sz w:val="24"/>
          <w:szCs w:val="24"/>
          <w:highlight w:val="none"/>
          <w:lang w:val="en-US" w:eastAsia="zh-CN" w:bidi="ar"/>
        </w:rPr>
        <w:t xml:space="preserve">  第3部分：</w:t>
      </w:r>
      <w:r>
        <w:rPr>
          <w:rFonts w:hint="eastAsia" w:cs="宋体"/>
          <w:bCs/>
          <w:kern w:val="0"/>
          <w:sz w:val="24"/>
          <w:szCs w:val="24"/>
          <w:highlight w:val="none"/>
          <w:lang w:val="en-US" w:eastAsia="zh-CN" w:bidi="ar"/>
        </w:rPr>
        <w:t>O</w:t>
      </w:r>
      <w:r>
        <w:rPr>
          <w:rFonts w:hint="eastAsia" w:ascii="宋体" w:hAnsi="宋体" w:eastAsia="宋体" w:cs="宋体"/>
          <w:bCs/>
          <w:kern w:val="0"/>
          <w:sz w:val="24"/>
          <w:szCs w:val="24"/>
          <w:highlight w:val="none"/>
          <w:lang w:val="en-US" w:eastAsia="zh-CN" w:bidi="ar"/>
        </w:rPr>
        <w:t>形橡胶密封圈》GB/T 19228.3-2012</w:t>
      </w:r>
    </w:p>
    <w:p w14:paraId="24C5AFB0">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③《薄壁不锈钢管》CJ/T 151－2016</w:t>
      </w:r>
    </w:p>
    <w:p w14:paraId="406EF3C3">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④《薄壁不锈钢卡压式和沟槽式管件》CJ/T 152-2016</w:t>
      </w:r>
    </w:p>
    <w:p w14:paraId="678CCF36">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default"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⑤《薄壁不锈钢管道技术规范》GB/T 29038－</w:t>
      </w:r>
      <w:r>
        <w:rPr>
          <w:rFonts w:hint="eastAsia" w:cs="宋体"/>
          <w:bCs/>
          <w:kern w:val="0"/>
          <w:sz w:val="24"/>
          <w:szCs w:val="24"/>
          <w:highlight w:val="none"/>
          <w:lang w:val="en-US" w:eastAsia="zh-CN" w:bidi="ar"/>
        </w:rPr>
        <w:t>2024</w:t>
      </w:r>
    </w:p>
    <w:p w14:paraId="43D4D44D">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⑥《建筑给水薄壁不锈钢管管道工程技术规程》</w:t>
      </w:r>
      <w:r>
        <w:rPr>
          <w:rFonts w:hint="eastAsia" w:cs="宋体"/>
          <w:bCs/>
          <w:kern w:val="0"/>
          <w:sz w:val="24"/>
          <w:szCs w:val="24"/>
          <w:highlight w:val="none"/>
          <w:lang w:val="en-US" w:eastAsia="zh-CN" w:bidi="ar"/>
        </w:rPr>
        <w:t>T/</w:t>
      </w:r>
      <w:r>
        <w:rPr>
          <w:rFonts w:hint="eastAsia" w:ascii="宋体" w:hAnsi="宋体" w:eastAsia="宋体" w:cs="宋体"/>
          <w:bCs/>
          <w:kern w:val="0"/>
          <w:sz w:val="24"/>
          <w:szCs w:val="24"/>
          <w:highlight w:val="none"/>
          <w:lang w:val="en-US" w:eastAsia="zh-CN" w:bidi="ar"/>
        </w:rPr>
        <w:t>CECS 153-2018</w:t>
      </w:r>
    </w:p>
    <w:p w14:paraId="74077E83">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⑦《建筑给水薄壁不锈钢管</w:t>
      </w:r>
      <w:r>
        <w:rPr>
          <w:rFonts w:hint="eastAsia" w:cs="宋体"/>
          <w:bCs/>
          <w:kern w:val="0"/>
          <w:sz w:val="24"/>
          <w:szCs w:val="24"/>
          <w:highlight w:val="none"/>
          <w:lang w:val="en-US" w:eastAsia="zh-CN" w:bidi="ar"/>
        </w:rPr>
        <w:t>道安装</w:t>
      </w:r>
      <w:r>
        <w:rPr>
          <w:rFonts w:hint="eastAsia" w:ascii="宋体" w:hAnsi="宋体" w:eastAsia="宋体" w:cs="宋体"/>
          <w:bCs/>
          <w:kern w:val="0"/>
          <w:sz w:val="24"/>
          <w:szCs w:val="24"/>
          <w:highlight w:val="none"/>
          <w:lang w:val="en-US" w:eastAsia="zh-CN" w:bidi="ar"/>
        </w:rPr>
        <w:t>》</w:t>
      </w:r>
      <w:r>
        <w:rPr>
          <w:rFonts w:hint="eastAsia" w:cs="宋体"/>
          <w:bCs/>
          <w:kern w:val="0"/>
          <w:sz w:val="24"/>
          <w:szCs w:val="24"/>
          <w:highlight w:val="none"/>
          <w:lang w:val="en-US" w:eastAsia="zh-CN" w:bidi="ar"/>
        </w:rPr>
        <w:t>22</w:t>
      </w:r>
      <w:r>
        <w:rPr>
          <w:rFonts w:hint="eastAsia" w:ascii="宋体" w:hAnsi="宋体" w:eastAsia="宋体" w:cs="宋体"/>
          <w:bCs/>
          <w:kern w:val="0"/>
          <w:sz w:val="24"/>
          <w:szCs w:val="24"/>
          <w:highlight w:val="none"/>
          <w:lang w:val="en-US" w:eastAsia="zh-CN" w:bidi="ar"/>
        </w:rPr>
        <w:t>S407-2</w:t>
      </w:r>
    </w:p>
    <w:p w14:paraId="5352E029">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⑧《</w:t>
      </w:r>
      <w:r>
        <w:rPr>
          <w:rFonts w:hint="eastAsia" w:cs="宋体"/>
          <w:bCs/>
          <w:kern w:val="0"/>
          <w:sz w:val="24"/>
          <w:szCs w:val="24"/>
          <w:highlight w:val="none"/>
          <w:lang w:val="en-US" w:eastAsia="zh-CN" w:bidi="ar"/>
        </w:rPr>
        <w:t>建筑与小区管道</w:t>
      </w:r>
      <w:r>
        <w:rPr>
          <w:rFonts w:hint="eastAsia" w:ascii="宋体" w:hAnsi="宋体" w:eastAsia="宋体" w:cs="宋体"/>
          <w:bCs/>
          <w:kern w:val="0"/>
          <w:sz w:val="24"/>
          <w:szCs w:val="24"/>
          <w:highlight w:val="none"/>
          <w:lang w:val="en-US" w:eastAsia="zh-CN" w:bidi="ar"/>
        </w:rPr>
        <w:t>直饮水系统技术规程》CJJ</w:t>
      </w:r>
      <w:r>
        <w:rPr>
          <w:rFonts w:hint="eastAsia" w:cs="宋体"/>
          <w:bCs/>
          <w:kern w:val="0"/>
          <w:sz w:val="24"/>
          <w:szCs w:val="24"/>
          <w:highlight w:val="none"/>
          <w:lang w:val="en-US" w:eastAsia="zh-CN" w:bidi="ar"/>
        </w:rPr>
        <w:t>/T</w:t>
      </w:r>
      <w:r>
        <w:rPr>
          <w:rFonts w:hint="eastAsia" w:ascii="宋体" w:hAnsi="宋体" w:eastAsia="宋体" w:cs="宋体"/>
          <w:bCs/>
          <w:kern w:val="0"/>
          <w:sz w:val="24"/>
          <w:szCs w:val="24"/>
          <w:highlight w:val="none"/>
          <w:lang w:val="en-US" w:eastAsia="zh-CN" w:bidi="ar"/>
        </w:rPr>
        <w:t>110－201</w:t>
      </w:r>
      <w:r>
        <w:rPr>
          <w:rFonts w:hint="eastAsia" w:cs="宋体"/>
          <w:bCs/>
          <w:kern w:val="0"/>
          <w:sz w:val="24"/>
          <w:szCs w:val="24"/>
          <w:highlight w:val="none"/>
          <w:lang w:val="en-US" w:eastAsia="zh-CN" w:bidi="ar"/>
        </w:rPr>
        <w:t>7</w:t>
      </w:r>
    </w:p>
    <w:p w14:paraId="0E152CA0">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2、管道的管材管件以及密封圈等均应符合《生活饮用水输配水设备及防护材料卫生安全评价规范》(2001)的要求。</w:t>
      </w:r>
    </w:p>
    <w:p w14:paraId="3E540FB8">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3、薄壁不锈钢管及配件材、管件必须采用的不锈钢材料牌号为：</w:t>
      </w:r>
    </w:p>
    <w:p w14:paraId="5C0AAC12">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①不得低于30408</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06Cr19Ni10</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材质，2B级光亮表面；</w:t>
      </w:r>
    </w:p>
    <w:p w14:paraId="1A2FEDDF">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②管材、管件的原材料须采用国内知名企业浦项（张家港）不锈钢股份有限公司、山西太钢不锈钢股份有限公司</w:t>
      </w:r>
      <w:r>
        <w:rPr>
          <w:rFonts w:hint="eastAsia" w:cs="宋体"/>
          <w:bCs/>
          <w:kern w:val="0"/>
          <w:sz w:val="24"/>
          <w:szCs w:val="24"/>
          <w:highlight w:val="none"/>
          <w:lang w:val="en-US" w:eastAsia="zh-CN" w:bidi="ar"/>
        </w:rPr>
        <w:t>、江苏德龙镍业有限公司、青山控股集团有限公司、甬金科技集团股份有限公司等</w:t>
      </w:r>
      <w:r>
        <w:rPr>
          <w:rFonts w:hint="eastAsia" w:ascii="宋体" w:hAnsi="宋体" w:eastAsia="宋体" w:cs="宋体"/>
          <w:bCs/>
          <w:kern w:val="0"/>
          <w:sz w:val="24"/>
          <w:szCs w:val="24"/>
          <w:highlight w:val="none"/>
          <w:lang w:val="en-US" w:eastAsia="zh-CN" w:bidi="ar"/>
        </w:rPr>
        <w:t>生产的不锈钢卷板</w:t>
      </w:r>
      <w:r>
        <w:rPr>
          <w:rFonts w:hint="eastAsia" w:cs="宋体"/>
          <w:bCs/>
          <w:kern w:val="0"/>
          <w:sz w:val="24"/>
          <w:szCs w:val="24"/>
          <w:highlight w:val="none"/>
          <w:lang w:val="en-US" w:eastAsia="zh-CN" w:bidi="ar"/>
        </w:rPr>
        <w:t>（本次报价无需注明）</w:t>
      </w:r>
      <w:r>
        <w:rPr>
          <w:rFonts w:hint="eastAsia" w:ascii="宋体" w:hAnsi="宋体" w:eastAsia="宋体" w:cs="宋体"/>
          <w:bCs/>
          <w:kern w:val="0"/>
          <w:sz w:val="24"/>
          <w:szCs w:val="24"/>
          <w:highlight w:val="none"/>
          <w:lang w:val="en-US" w:eastAsia="zh-CN" w:bidi="ar"/>
        </w:rPr>
        <w:t>，不得使用小钢厂改轧料做生产原料；</w:t>
      </w:r>
    </w:p>
    <w:p w14:paraId="1C631231">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③管材的力学性能应满足抗拉强度≥520MPa，热处理状态断后伸长率≥35%。原材料的化学成分应符合国家标准的规定。压力等级≥1.6MPa。</w:t>
      </w:r>
    </w:p>
    <w:p w14:paraId="5F32CC11">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4、密封圈：应与所选定的管道连接方式匹配</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密封圈材质采用三元乙丙（EPDM），并提供相应的检测报告。</w:t>
      </w:r>
    </w:p>
    <w:p w14:paraId="6E24F9B3">
      <w:pPr>
        <w:pStyle w:val="14"/>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380" w:lineRule="exact"/>
        <w:ind w:left="0" w:right="0" w:firstLine="480" w:firstLineChars="200"/>
        <w:contextualSpacing/>
        <w:jc w:val="both"/>
        <w:textAlignment w:val="auto"/>
        <w:rPr>
          <w:rFonts w:hint="eastAsia" w:ascii="宋体" w:hAnsi="宋体" w:eastAsia="宋体" w:cs="宋体"/>
          <w:bCs/>
          <w:kern w:val="0"/>
          <w:sz w:val="24"/>
          <w:szCs w:val="24"/>
          <w:highlight w:val="none"/>
          <w:lang w:val="en-US" w:eastAsia="zh-CN" w:bidi="ar"/>
        </w:rPr>
      </w:pPr>
      <w:r>
        <w:rPr>
          <w:rFonts w:hint="eastAsia" w:ascii="宋体" w:hAnsi="宋体" w:eastAsia="宋体" w:cs="宋体"/>
          <w:bCs/>
          <w:kern w:val="0"/>
          <w:sz w:val="24"/>
          <w:szCs w:val="24"/>
          <w:highlight w:val="none"/>
          <w:lang w:val="en-US" w:eastAsia="zh-CN" w:bidi="ar"/>
        </w:rPr>
        <w:t>5、薄壁不锈钢管及配件执行CJ/T 151－2016标准，选用I系列</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管外径D(mm)须为18、22、28、35、42、54、63.5、76.1、88.9、108且符合国家标准要求的偏差，具体对应口径及外径及壁厚以下表为准。</w:t>
      </w:r>
    </w:p>
    <w:p w14:paraId="4BD66224">
      <w:pPr>
        <w:pStyle w:val="15"/>
        <w:keepNext w:val="0"/>
        <w:keepLines w:val="0"/>
        <w:pageBreakBefore w:val="0"/>
        <w:kinsoku/>
        <w:wordWrap/>
        <w:overflowPunct/>
        <w:topLinePunct w:val="0"/>
        <w:autoSpaceDN/>
        <w:bidi w:val="0"/>
        <w:spacing w:line="380" w:lineRule="exact"/>
        <w:textAlignment w:val="auto"/>
        <w:rPr>
          <w:rFonts w:hint="eastAsia" w:ascii="宋体" w:hAnsi="宋体" w:eastAsia="宋体" w:cs="宋体"/>
          <w:bCs/>
          <w:kern w:val="0"/>
          <w:sz w:val="24"/>
          <w:szCs w:val="24"/>
          <w:highlight w:val="none"/>
          <w:lang w:val="en-US" w:eastAsia="zh-CN" w:bidi="ar"/>
        </w:rPr>
      </w:pPr>
    </w:p>
    <w:p w14:paraId="4A23FCBA">
      <w:pPr>
        <w:pStyle w:val="15"/>
        <w:keepNext w:val="0"/>
        <w:keepLines w:val="0"/>
        <w:pageBreakBefore w:val="0"/>
        <w:kinsoku/>
        <w:wordWrap/>
        <w:overflowPunct/>
        <w:topLinePunct w:val="0"/>
        <w:autoSpaceDN/>
        <w:bidi w:val="0"/>
        <w:spacing w:line="380" w:lineRule="exact"/>
        <w:textAlignment w:val="auto"/>
        <w:rPr>
          <w:rFonts w:hint="eastAsia" w:ascii="宋体" w:hAnsi="宋体" w:eastAsia="宋体" w:cs="宋体"/>
          <w:bCs/>
          <w:kern w:val="0"/>
          <w:sz w:val="24"/>
          <w:szCs w:val="24"/>
          <w:highlight w:val="none"/>
          <w:lang w:val="en-US" w:eastAsia="zh-CN" w:bidi="ar"/>
        </w:rPr>
      </w:pPr>
    </w:p>
    <w:tbl>
      <w:tblPr>
        <w:tblStyle w:val="18"/>
        <w:tblW w:w="9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2"/>
        <w:gridCol w:w="1906"/>
        <w:gridCol w:w="1989"/>
        <w:gridCol w:w="2321"/>
      </w:tblGrid>
      <w:tr w14:paraId="4738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962" w:type="dxa"/>
            <w:tcBorders>
              <w:top w:val="single" w:color="auto" w:sz="4" w:space="0"/>
              <w:left w:val="single" w:color="auto" w:sz="4" w:space="0"/>
              <w:bottom w:val="single" w:color="auto" w:sz="4" w:space="0"/>
              <w:right w:val="single" w:color="000000" w:sz="4" w:space="0"/>
            </w:tcBorders>
            <w:noWrap w:val="0"/>
            <w:vAlign w:val="center"/>
          </w:tcPr>
          <w:p w14:paraId="31A81F97">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bidi="ar"/>
              </w:rPr>
              <w:t>材料名称</w:t>
            </w:r>
          </w:p>
        </w:tc>
        <w:tc>
          <w:tcPr>
            <w:tcW w:w="1906" w:type="dxa"/>
            <w:tcBorders>
              <w:top w:val="single" w:color="auto" w:sz="4" w:space="0"/>
              <w:left w:val="nil"/>
              <w:bottom w:val="single" w:color="auto" w:sz="4" w:space="0"/>
              <w:right w:val="single" w:color="auto" w:sz="4" w:space="0"/>
            </w:tcBorders>
            <w:noWrap w:val="0"/>
            <w:vAlign w:val="center"/>
          </w:tcPr>
          <w:p w14:paraId="4E0217BD">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bidi="ar"/>
              </w:rPr>
              <w:t>规格</w:t>
            </w:r>
          </w:p>
        </w:tc>
        <w:tc>
          <w:tcPr>
            <w:tcW w:w="1989" w:type="dxa"/>
            <w:tcBorders>
              <w:top w:val="single" w:color="auto" w:sz="4" w:space="0"/>
              <w:left w:val="nil"/>
              <w:bottom w:val="single" w:color="auto" w:sz="4" w:space="0"/>
              <w:right w:val="single" w:color="auto" w:sz="4" w:space="0"/>
            </w:tcBorders>
            <w:noWrap w:val="0"/>
            <w:vAlign w:val="center"/>
          </w:tcPr>
          <w:p w14:paraId="34B1428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241" w:firstLineChars="100"/>
              <w:jc w:val="both"/>
              <w:textAlignment w:val="auto"/>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bidi="ar"/>
              </w:rPr>
              <w:t>外径（mm）</w:t>
            </w:r>
          </w:p>
        </w:tc>
        <w:tc>
          <w:tcPr>
            <w:tcW w:w="2321" w:type="dxa"/>
            <w:tcBorders>
              <w:top w:val="single" w:color="auto" w:sz="4" w:space="0"/>
              <w:left w:val="nil"/>
              <w:bottom w:val="single" w:color="auto" w:sz="4" w:space="0"/>
              <w:right w:val="single" w:color="auto" w:sz="4" w:space="0"/>
            </w:tcBorders>
            <w:noWrap w:val="0"/>
            <w:vAlign w:val="center"/>
          </w:tcPr>
          <w:p w14:paraId="436CE01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bidi="ar"/>
              </w:rPr>
              <w:t>壁厚(mm)</w:t>
            </w:r>
          </w:p>
        </w:tc>
      </w:tr>
      <w:tr w14:paraId="6336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restart"/>
            <w:tcBorders>
              <w:top w:val="nil"/>
              <w:left w:val="single" w:color="auto" w:sz="4" w:space="0"/>
              <w:bottom w:val="single" w:color="000000" w:sz="4" w:space="0"/>
              <w:right w:val="single" w:color="000000" w:sz="4" w:space="0"/>
            </w:tcBorders>
            <w:noWrap w:val="0"/>
            <w:vAlign w:val="center"/>
          </w:tcPr>
          <w:p w14:paraId="4AB2D085">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薄壁不锈钢卡压式管</w:t>
            </w:r>
          </w:p>
        </w:tc>
        <w:tc>
          <w:tcPr>
            <w:tcW w:w="1906" w:type="dxa"/>
            <w:tcBorders>
              <w:top w:val="nil"/>
              <w:left w:val="nil"/>
              <w:bottom w:val="single" w:color="auto" w:sz="4" w:space="0"/>
              <w:right w:val="single" w:color="auto" w:sz="4" w:space="0"/>
            </w:tcBorders>
            <w:noWrap w:val="0"/>
            <w:vAlign w:val="center"/>
          </w:tcPr>
          <w:p w14:paraId="7DD0231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DN15</w:t>
            </w:r>
          </w:p>
        </w:tc>
        <w:tc>
          <w:tcPr>
            <w:tcW w:w="1989" w:type="dxa"/>
            <w:tcBorders>
              <w:top w:val="nil"/>
              <w:left w:val="nil"/>
              <w:bottom w:val="single" w:color="auto" w:sz="4" w:space="0"/>
              <w:right w:val="single" w:color="auto" w:sz="4" w:space="0"/>
            </w:tcBorders>
            <w:noWrap w:val="0"/>
            <w:vAlign w:val="center"/>
          </w:tcPr>
          <w:p w14:paraId="0FBF7D2F">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18</w:t>
            </w:r>
          </w:p>
        </w:tc>
        <w:tc>
          <w:tcPr>
            <w:tcW w:w="2321" w:type="dxa"/>
            <w:tcBorders>
              <w:top w:val="nil"/>
              <w:left w:val="nil"/>
              <w:bottom w:val="single" w:color="auto" w:sz="4" w:space="0"/>
              <w:right w:val="single" w:color="auto" w:sz="4" w:space="0"/>
            </w:tcBorders>
            <w:noWrap w:val="0"/>
            <w:vAlign w:val="center"/>
          </w:tcPr>
          <w:p w14:paraId="3E439C28">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1.0±0.1</w:t>
            </w:r>
          </w:p>
        </w:tc>
      </w:tr>
      <w:tr w14:paraId="66A7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761B64D4">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540211BA">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DN20</w:t>
            </w:r>
          </w:p>
        </w:tc>
        <w:tc>
          <w:tcPr>
            <w:tcW w:w="1989" w:type="dxa"/>
            <w:tcBorders>
              <w:top w:val="nil"/>
              <w:left w:val="nil"/>
              <w:bottom w:val="single" w:color="auto" w:sz="4" w:space="0"/>
              <w:right w:val="single" w:color="auto" w:sz="4" w:space="0"/>
            </w:tcBorders>
            <w:noWrap w:val="0"/>
            <w:vAlign w:val="center"/>
          </w:tcPr>
          <w:p w14:paraId="23DECFC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22</w:t>
            </w:r>
          </w:p>
        </w:tc>
        <w:tc>
          <w:tcPr>
            <w:tcW w:w="2321" w:type="dxa"/>
            <w:tcBorders>
              <w:top w:val="nil"/>
              <w:left w:val="nil"/>
              <w:bottom w:val="single" w:color="auto" w:sz="4" w:space="0"/>
              <w:right w:val="single" w:color="auto" w:sz="4" w:space="0"/>
            </w:tcBorders>
            <w:noWrap w:val="0"/>
            <w:vAlign w:val="center"/>
          </w:tcPr>
          <w:p w14:paraId="3EEC770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1.2±0.12</w:t>
            </w:r>
          </w:p>
        </w:tc>
      </w:tr>
      <w:tr w14:paraId="446E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7289ED3B">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29605A2D">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DN25</w:t>
            </w:r>
          </w:p>
        </w:tc>
        <w:tc>
          <w:tcPr>
            <w:tcW w:w="1989" w:type="dxa"/>
            <w:tcBorders>
              <w:top w:val="nil"/>
              <w:left w:val="nil"/>
              <w:bottom w:val="single" w:color="auto" w:sz="4" w:space="0"/>
              <w:right w:val="single" w:color="auto" w:sz="4" w:space="0"/>
            </w:tcBorders>
            <w:noWrap w:val="0"/>
            <w:vAlign w:val="center"/>
          </w:tcPr>
          <w:p w14:paraId="444A7F8C">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28</w:t>
            </w:r>
          </w:p>
        </w:tc>
        <w:tc>
          <w:tcPr>
            <w:tcW w:w="2321" w:type="dxa"/>
            <w:tcBorders>
              <w:top w:val="nil"/>
              <w:left w:val="nil"/>
              <w:bottom w:val="single" w:color="auto" w:sz="4" w:space="0"/>
              <w:right w:val="single" w:color="auto" w:sz="4" w:space="0"/>
            </w:tcBorders>
            <w:noWrap w:val="0"/>
            <w:vAlign w:val="center"/>
          </w:tcPr>
          <w:p w14:paraId="206BC681">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1.2±0.12</w:t>
            </w:r>
          </w:p>
        </w:tc>
      </w:tr>
      <w:tr w14:paraId="628F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33ED958F">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3FD4F47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DN32</w:t>
            </w:r>
          </w:p>
        </w:tc>
        <w:tc>
          <w:tcPr>
            <w:tcW w:w="1989" w:type="dxa"/>
            <w:tcBorders>
              <w:top w:val="nil"/>
              <w:left w:val="nil"/>
              <w:bottom w:val="single" w:color="auto" w:sz="4" w:space="0"/>
              <w:right w:val="single" w:color="auto" w:sz="4" w:space="0"/>
            </w:tcBorders>
            <w:noWrap w:val="0"/>
            <w:vAlign w:val="center"/>
          </w:tcPr>
          <w:p w14:paraId="5D919195">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35</w:t>
            </w:r>
          </w:p>
        </w:tc>
        <w:tc>
          <w:tcPr>
            <w:tcW w:w="2321" w:type="dxa"/>
            <w:tcBorders>
              <w:top w:val="nil"/>
              <w:left w:val="nil"/>
              <w:bottom w:val="single" w:color="auto" w:sz="4" w:space="0"/>
              <w:right w:val="single" w:color="auto" w:sz="4" w:space="0"/>
            </w:tcBorders>
            <w:noWrap w:val="0"/>
            <w:vAlign w:val="center"/>
          </w:tcPr>
          <w:p w14:paraId="1541773C">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1.5±0.15</w:t>
            </w:r>
          </w:p>
        </w:tc>
      </w:tr>
      <w:tr w14:paraId="595D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6572DB74">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672CD92B">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DN40</w:t>
            </w:r>
          </w:p>
        </w:tc>
        <w:tc>
          <w:tcPr>
            <w:tcW w:w="1989" w:type="dxa"/>
            <w:tcBorders>
              <w:top w:val="nil"/>
              <w:left w:val="nil"/>
              <w:bottom w:val="single" w:color="auto" w:sz="4" w:space="0"/>
              <w:right w:val="single" w:color="auto" w:sz="4" w:space="0"/>
            </w:tcBorders>
            <w:noWrap w:val="0"/>
            <w:vAlign w:val="center"/>
          </w:tcPr>
          <w:p w14:paraId="5A28410D">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42</w:t>
            </w:r>
          </w:p>
        </w:tc>
        <w:tc>
          <w:tcPr>
            <w:tcW w:w="2321" w:type="dxa"/>
            <w:tcBorders>
              <w:top w:val="nil"/>
              <w:left w:val="nil"/>
              <w:bottom w:val="single" w:color="auto" w:sz="4" w:space="0"/>
              <w:right w:val="single" w:color="auto" w:sz="4" w:space="0"/>
            </w:tcBorders>
            <w:noWrap w:val="0"/>
            <w:vAlign w:val="center"/>
          </w:tcPr>
          <w:p w14:paraId="6BF689B1">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1.5±0.15</w:t>
            </w:r>
          </w:p>
        </w:tc>
      </w:tr>
      <w:tr w14:paraId="243D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31ED0CBE">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62D41A8D">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DN50</w:t>
            </w:r>
          </w:p>
        </w:tc>
        <w:tc>
          <w:tcPr>
            <w:tcW w:w="1989" w:type="dxa"/>
            <w:tcBorders>
              <w:top w:val="nil"/>
              <w:left w:val="nil"/>
              <w:bottom w:val="single" w:color="auto" w:sz="4" w:space="0"/>
              <w:right w:val="single" w:color="auto" w:sz="4" w:space="0"/>
            </w:tcBorders>
            <w:noWrap w:val="0"/>
            <w:vAlign w:val="center"/>
          </w:tcPr>
          <w:p w14:paraId="05A4A0CA">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54</w:t>
            </w:r>
          </w:p>
        </w:tc>
        <w:tc>
          <w:tcPr>
            <w:tcW w:w="2321" w:type="dxa"/>
            <w:tcBorders>
              <w:top w:val="nil"/>
              <w:left w:val="nil"/>
              <w:bottom w:val="single" w:color="auto" w:sz="4" w:space="0"/>
              <w:right w:val="single" w:color="auto" w:sz="4" w:space="0"/>
            </w:tcBorders>
            <w:noWrap w:val="0"/>
            <w:vAlign w:val="center"/>
          </w:tcPr>
          <w:p w14:paraId="38016B3C">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1.5±0.15</w:t>
            </w:r>
          </w:p>
        </w:tc>
      </w:tr>
      <w:tr w14:paraId="4995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1E5CBD2E">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1FFC8284">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DN60</w:t>
            </w:r>
          </w:p>
        </w:tc>
        <w:tc>
          <w:tcPr>
            <w:tcW w:w="1989" w:type="dxa"/>
            <w:tcBorders>
              <w:top w:val="nil"/>
              <w:left w:val="nil"/>
              <w:bottom w:val="single" w:color="auto" w:sz="4" w:space="0"/>
              <w:right w:val="single" w:color="auto" w:sz="4" w:space="0"/>
            </w:tcBorders>
            <w:noWrap w:val="0"/>
            <w:vAlign w:val="center"/>
          </w:tcPr>
          <w:p w14:paraId="34EF5BE7">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63.5</w:t>
            </w:r>
          </w:p>
        </w:tc>
        <w:tc>
          <w:tcPr>
            <w:tcW w:w="2321" w:type="dxa"/>
            <w:tcBorders>
              <w:top w:val="nil"/>
              <w:left w:val="nil"/>
              <w:bottom w:val="single" w:color="auto" w:sz="4" w:space="0"/>
              <w:right w:val="single" w:color="auto" w:sz="4" w:space="0"/>
            </w:tcBorders>
            <w:noWrap w:val="0"/>
            <w:vAlign w:val="center"/>
          </w:tcPr>
          <w:p w14:paraId="1C3D69F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1.5±0.15</w:t>
            </w:r>
          </w:p>
        </w:tc>
      </w:tr>
      <w:tr w14:paraId="0FA5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35B98E3D">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5A459CB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DN65</w:t>
            </w:r>
          </w:p>
        </w:tc>
        <w:tc>
          <w:tcPr>
            <w:tcW w:w="1989" w:type="dxa"/>
            <w:tcBorders>
              <w:top w:val="nil"/>
              <w:left w:val="nil"/>
              <w:bottom w:val="single" w:color="auto" w:sz="4" w:space="0"/>
              <w:right w:val="single" w:color="auto" w:sz="4" w:space="0"/>
            </w:tcBorders>
            <w:noWrap w:val="0"/>
            <w:vAlign w:val="center"/>
          </w:tcPr>
          <w:p w14:paraId="02E8F4E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76.1</w:t>
            </w:r>
          </w:p>
        </w:tc>
        <w:tc>
          <w:tcPr>
            <w:tcW w:w="2321" w:type="dxa"/>
            <w:tcBorders>
              <w:top w:val="nil"/>
              <w:left w:val="nil"/>
              <w:bottom w:val="single" w:color="auto" w:sz="4" w:space="0"/>
              <w:right w:val="single" w:color="auto" w:sz="4" w:space="0"/>
            </w:tcBorders>
            <w:noWrap w:val="0"/>
            <w:vAlign w:val="center"/>
          </w:tcPr>
          <w:p w14:paraId="79FAED9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2.0±0.2</w:t>
            </w:r>
          </w:p>
        </w:tc>
      </w:tr>
      <w:tr w14:paraId="2E25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02002CD5">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6B681FA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DN80</w:t>
            </w:r>
          </w:p>
        </w:tc>
        <w:tc>
          <w:tcPr>
            <w:tcW w:w="1989" w:type="dxa"/>
            <w:tcBorders>
              <w:top w:val="nil"/>
              <w:left w:val="nil"/>
              <w:bottom w:val="single" w:color="auto" w:sz="4" w:space="0"/>
              <w:right w:val="single" w:color="auto" w:sz="4" w:space="0"/>
            </w:tcBorders>
            <w:noWrap w:val="0"/>
            <w:vAlign w:val="center"/>
          </w:tcPr>
          <w:p w14:paraId="2B4EABE9">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88.9</w:t>
            </w:r>
          </w:p>
        </w:tc>
        <w:tc>
          <w:tcPr>
            <w:tcW w:w="2321" w:type="dxa"/>
            <w:tcBorders>
              <w:top w:val="nil"/>
              <w:left w:val="nil"/>
              <w:bottom w:val="single" w:color="auto" w:sz="4" w:space="0"/>
              <w:right w:val="single" w:color="auto" w:sz="4" w:space="0"/>
            </w:tcBorders>
            <w:noWrap w:val="0"/>
            <w:vAlign w:val="center"/>
          </w:tcPr>
          <w:p w14:paraId="7489F2D2">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2.0±0.2</w:t>
            </w:r>
          </w:p>
        </w:tc>
      </w:tr>
      <w:tr w14:paraId="1AF5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2CADE65E">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7443117F">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DN100</w:t>
            </w:r>
          </w:p>
        </w:tc>
        <w:tc>
          <w:tcPr>
            <w:tcW w:w="1989" w:type="dxa"/>
            <w:tcBorders>
              <w:top w:val="nil"/>
              <w:left w:val="nil"/>
              <w:bottom w:val="single" w:color="auto" w:sz="4" w:space="0"/>
              <w:right w:val="single" w:color="auto" w:sz="4" w:space="0"/>
            </w:tcBorders>
            <w:noWrap w:val="0"/>
            <w:vAlign w:val="center"/>
          </w:tcPr>
          <w:p w14:paraId="5BEEB4C1">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108</w:t>
            </w:r>
          </w:p>
        </w:tc>
        <w:tc>
          <w:tcPr>
            <w:tcW w:w="2321" w:type="dxa"/>
            <w:tcBorders>
              <w:top w:val="nil"/>
              <w:left w:val="nil"/>
              <w:bottom w:val="single" w:color="auto" w:sz="4" w:space="0"/>
              <w:right w:val="single" w:color="auto" w:sz="4" w:space="0"/>
            </w:tcBorders>
            <w:noWrap w:val="0"/>
            <w:vAlign w:val="center"/>
          </w:tcPr>
          <w:p w14:paraId="3100CAAD">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2.0±0.2</w:t>
            </w:r>
          </w:p>
        </w:tc>
      </w:tr>
      <w:tr w14:paraId="3E13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restart"/>
            <w:tcBorders>
              <w:top w:val="nil"/>
              <w:left w:val="single" w:color="auto" w:sz="4" w:space="0"/>
              <w:bottom w:val="single" w:color="000000" w:sz="4" w:space="0"/>
              <w:right w:val="single" w:color="000000" w:sz="4" w:space="0"/>
            </w:tcBorders>
            <w:noWrap w:val="0"/>
            <w:vAlign w:val="center"/>
          </w:tcPr>
          <w:p w14:paraId="0B6D542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薄壁不锈钢沟槽式管</w:t>
            </w:r>
          </w:p>
        </w:tc>
        <w:tc>
          <w:tcPr>
            <w:tcW w:w="1906" w:type="dxa"/>
            <w:tcBorders>
              <w:top w:val="nil"/>
              <w:left w:val="nil"/>
              <w:bottom w:val="single" w:color="auto" w:sz="4" w:space="0"/>
              <w:right w:val="single" w:color="auto" w:sz="4" w:space="0"/>
            </w:tcBorders>
            <w:noWrap w:val="0"/>
            <w:vAlign w:val="center"/>
          </w:tcPr>
          <w:p w14:paraId="26F25E1C">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DN125</w:t>
            </w:r>
          </w:p>
        </w:tc>
        <w:tc>
          <w:tcPr>
            <w:tcW w:w="1989" w:type="dxa"/>
            <w:tcBorders>
              <w:top w:val="nil"/>
              <w:left w:val="nil"/>
              <w:bottom w:val="single" w:color="auto" w:sz="4" w:space="0"/>
              <w:right w:val="single" w:color="auto" w:sz="4" w:space="0"/>
            </w:tcBorders>
            <w:noWrap w:val="0"/>
            <w:vAlign w:val="center"/>
          </w:tcPr>
          <w:p w14:paraId="74F57F8A">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133</w:t>
            </w:r>
          </w:p>
        </w:tc>
        <w:tc>
          <w:tcPr>
            <w:tcW w:w="2321" w:type="dxa"/>
            <w:tcBorders>
              <w:top w:val="nil"/>
              <w:left w:val="nil"/>
              <w:bottom w:val="single" w:color="auto" w:sz="4" w:space="0"/>
              <w:right w:val="single" w:color="auto" w:sz="4" w:space="0"/>
            </w:tcBorders>
            <w:noWrap w:val="0"/>
            <w:vAlign w:val="center"/>
          </w:tcPr>
          <w:p w14:paraId="2AE8B677">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2.5±0.3</w:t>
            </w:r>
          </w:p>
        </w:tc>
      </w:tr>
      <w:tr w14:paraId="4EA4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05F301BC">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4C84156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DN150</w:t>
            </w:r>
          </w:p>
        </w:tc>
        <w:tc>
          <w:tcPr>
            <w:tcW w:w="1989" w:type="dxa"/>
            <w:tcBorders>
              <w:top w:val="nil"/>
              <w:left w:val="nil"/>
              <w:bottom w:val="single" w:color="auto" w:sz="4" w:space="0"/>
              <w:right w:val="single" w:color="auto" w:sz="4" w:space="0"/>
            </w:tcBorders>
            <w:noWrap w:val="0"/>
            <w:vAlign w:val="center"/>
          </w:tcPr>
          <w:p w14:paraId="671A2D82">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159</w:t>
            </w:r>
          </w:p>
        </w:tc>
        <w:tc>
          <w:tcPr>
            <w:tcW w:w="2321" w:type="dxa"/>
            <w:tcBorders>
              <w:top w:val="nil"/>
              <w:left w:val="nil"/>
              <w:bottom w:val="single" w:color="auto" w:sz="4" w:space="0"/>
              <w:right w:val="single" w:color="auto" w:sz="4" w:space="0"/>
            </w:tcBorders>
            <w:noWrap w:val="0"/>
            <w:vAlign w:val="center"/>
          </w:tcPr>
          <w:p w14:paraId="252B38F4">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2.5±0.3</w:t>
            </w:r>
          </w:p>
        </w:tc>
      </w:tr>
      <w:tr w14:paraId="3B0F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1E65D540">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07FFC407">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DN200</w:t>
            </w:r>
          </w:p>
        </w:tc>
        <w:tc>
          <w:tcPr>
            <w:tcW w:w="1989" w:type="dxa"/>
            <w:tcBorders>
              <w:top w:val="nil"/>
              <w:left w:val="nil"/>
              <w:bottom w:val="single" w:color="auto" w:sz="4" w:space="0"/>
              <w:right w:val="single" w:color="auto" w:sz="4" w:space="0"/>
            </w:tcBorders>
            <w:noWrap w:val="0"/>
            <w:vAlign w:val="center"/>
          </w:tcPr>
          <w:p w14:paraId="13F3EEA9">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219</w:t>
            </w:r>
          </w:p>
        </w:tc>
        <w:tc>
          <w:tcPr>
            <w:tcW w:w="2321" w:type="dxa"/>
            <w:tcBorders>
              <w:top w:val="nil"/>
              <w:left w:val="nil"/>
              <w:bottom w:val="single" w:color="auto" w:sz="4" w:space="0"/>
              <w:right w:val="single" w:color="auto" w:sz="4" w:space="0"/>
            </w:tcBorders>
            <w:noWrap w:val="0"/>
            <w:vAlign w:val="center"/>
          </w:tcPr>
          <w:p w14:paraId="23A4786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3.0±0.3</w:t>
            </w:r>
          </w:p>
        </w:tc>
      </w:tr>
      <w:tr w14:paraId="6438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4C5146AC">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73876D17">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DN250</w:t>
            </w:r>
          </w:p>
        </w:tc>
        <w:tc>
          <w:tcPr>
            <w:tcW w:w="1989" w:type="dxa"/>
            <w:tcBorders>
              <w:top w:val="nil"/>
              <w:left w:val="nil"/>
              <w:bottom w:val="single" w:color="auto" w:sz="4" w:space="0"/>
              <w:right w:val="single" w:color="auto" w:sz="4" w:space="0"/>
            </w:tcBorders>
            <w:noWrap w:val="0"/>
            <w:vAlign w:val="center"/>
          </w:tcPr>
          <w:p w14:paraId="5F55D98F">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273</w:t>
            </w:r>
          </w:p>
        </w:tc>
        <w:tc>
          <w:tcPr>
            <w:tcW w:w="2321" w:type="dxa"/>
            <w:tcBorders>
              <w:top w:val="nil"/>
              <w:left w:val="nil"/>
              <w:bottom w:val="single" w:color="auto" w:sz="4" w:space="0"/>
              <w:right w:val="single" w:color="auto" w:sz="4" w:space="0"/>
            </w:tcBorders>
            <w:noWrap w:val="0"/>
            <w:vAlign w:val="center"/>
          </w:tcPr>
          <w:p w14:paraId="0614CB49">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4.0±0.3</w:t>
            </w:r>
          </w:p>
        </w:tc>
      </w:tr>
      <w:tr w14:paraId="6703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021A27A4">
            <w:pPr>
              <w:keepNext w:val="0"/>
              <w:keepLines w:val="0"/>
              <w:pageBreakBefore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0517652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DN300</w:t>
            </w:r>
          </w:p>
        </w:tc>
        <w:tc>
          <w:tcPr>
            <w:tcW w:w="1989" w:type="dxa"/>
            <w:tcBorders>
              <w:top w:val="nil"/>
              <w:left w:val="nil"/>
              <w:bottom w:val="single" w:color="auto" w:sz="4" w:space="0"/>
              <w:right w:val="single" w:color="auto" w:sz="4" w:space="0"/>
            </w:tcBorders>
            <w:noWrap w:val="0"/>
            <w:vAlign w:val="center"/>
          </w:tcPr>
          <w:p w14:paraId="6D5BDD9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325</w:t>
            </w:r>
          </w:p>
        </w:tc>
        <w:tc>
          <w:tcPr>
            <w:tcW w:w="2321" w:type="dxa"/>
            <w:tcBorders>
              <w:top w:val="nil"/>
              <w:left w:val="nil"/>
              <w:bottom w:val="single" w:color="auto" w:sz="4" w:space="0"/>
              <w:right w:val="single" w:color="auto" w:sz="4" w:space="0"/>
            </w:tcBorders>
            <w:noWrap w:val="0"/>
            <w:vAlign w:val="center"/>
          </w:tcPr>
          <w:p w14:paraId="6B44A5BF">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4.0±0.3</w:t>
            </w:r>
          </w:p>
        </w:tc>
      </w:tr>
      <w:tr w14:paraId="42D5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restart"/>
            <w:tcBorders>
              <w:top w:val="nil"/>
              <w:left w:val="single" w:color="auto" w:sz="4" w:space="0"/>
              <w:bottom w:val="single" w:color="000000" w:sz="4" w:space="0"/>
              <w:right w:val="single" w:color="000000" w:sz="4" w:space="0"/>
            </w:tcBorders>
            <w:noWrap w:val="0"/>
            <w:vAlign w:val="center"/>
          </w:tcPr>
          <w:p w14:paraId="0DB024B1">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薄壁不锈钢卡压式管件</w:t>
            </w:r>
          </w:p>
        </w:tc>
        <w:tc>
          <w:tcPr>
            <w:tcW w:w="1906" w:type="dxa"/>
            <w:tcBorders>
              <w:top w:val="nil"/>
              <w:left w:val="nil"/>
              <w:bottom w:val="single" w:color="auto" w:sz="4" w:space="0"/>
              <w:right w:val="single" w:color="auto" w:sz="4" w:space="0"/>
            </w:tcBorders>
            <w:noWrap w:val="0"/>
            <w:vAlign w:val="center"/>
          </w:tcPr>
          <w:p w14:paraId="4F500842">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DN15</w:t>
            </w:r>
          </w:p>
        </w:tc>
        <w:tc>
          <w:tcPr>
            <w:tcW w:w="1989" w:type="dxa"/>
            <w:tcBorders>
              <w:top w:val="nil"/>
              <w:left w:val="nil"/>
              <w:bottom w:val="single" w:color="auto" w:sz="4" w:space="0"/>
              <w:right w:val="single" w:color="auto" w:sz="4" w:space="0"/>
            </w:tcBorders>
            <w:noWrap w:val="0"/>
            <w:vAlign w:val="center"/>
          </w:tcPr>
          <w:p w14:paraId="529E8F5B">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18</w:t>
            </w:r>
          </w:p>
        </w:tc>
        <w:tc>
          <w:tcPr>
            <w:tcW w:w="2321" w:type="dxa"/>
            <w:tcBorders>
              <w:top w:val="nil"/>
              <w:left w:val="nil"/>
              <w:bottom w:val="single" w:color="auto" w:sz="4" w:space="0"/>
              <w:right w:val="single" w:color="auto" w:sz="4" w:space="0"/>
            </w:tcBorders>
            <w:noWrap w:val="0"/>
            <w:vAlign w:val="center"/>
          </w:tcPr>
          <w:p w14:paraId="26F0234E">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1.0</w:t>
            </w:r>
          </w:p>
        </w:tc>
      </w:tr>
      <w:tr w14:paraId="1A30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014107D3">
            <w:pPr>
              <w:keepNext w:val="0"/>
              <w:keepLines w:val="0"/>
              <w:pageBreakBefore w:val="0"/>
              <w:suppressLineNumbers w:val="0"/>
              <w:kinsoku/>
              <w:wordWrap/>
              <w:overflowPunct/>
              <w:topLinePunct w:val="0"/>
              <w:autoSpaceDN/>
              <w:bidi w:val="0"/>
              <w:spacing w:before="0" w:beforeAutospacing="0" w:after="0" w:afterAutospacing="0" w:line="380" w:lineRule="exact"/>
              <w:ind w:left="0" w:right="0"/>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4E444924">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DN20</w:t>
            </w:r>
          </w:p>
        </w:tc>
        <w:tc>
          <w:tcPr>
            <w:tcW w:w="1989" w:type="dxa"/>
            <w:tcBorders>
              <w:top w:val="nil"/>
              <w:left w:val="nil"/>
              <w:bottom w:val="single" w:color="auto" w:sz="4" w:space="0"/>
              <w:right w:val="single" w:color="auto" w:sz="4" w:space="0"/>
            </w:tcBorders>
            <w:noWrap w:val="0"/>
            <w:vAlign w:val="center"/>
          </w:tcPr>
          <w:p w14:paraId="67002322">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22</w:t>
            </w:r>
          </w:p>
        </w:tc>
        <w:tc>
          <w:tcPr>
            <w:tcW w:w="2321" w:type="dxa"/>
            <w:tcBorders>
              <w:top w:val="nil"/>
              <w:left w:val="nil"/>
              <w:bottom w:val="single" w:color="auto" w:sz="4" w:space="0"/>
              <w:right w:val="single" w:color="auto" w:sz="4" w:space="0"/>
            </w:tcBorders>
            <w:noWrap w:val="0"/>
            <w:vAlign w:val="center"/>
          </w:tcPr>
          <w:p w14:paraId="4AC0164D">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1.2</w:t>
            </w:r>
          </w:p>
        </w:tc>
      </w:tr>
      <w:tr w14:paraId="07BB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05478055">
            <w:pPr>
              <w:keepNext w:val="0"/>
              <w:keepLines w:val="0"/>
              <w:pageBreakBefore w:val="0"/>
              <w:suppressLineNumbers w:val="0"/>
              <w:kinsoku/>
              <w:wordWrap/>
              <w:overflowPunct/>
              <w:topLinePunct w:val="0"/>
              <w:autoSpaceDN/>
              <w:bidi w:val="0"/>
              <w:spacing w:before="0" w:beforeAutospacing="0" w:after="0" w:afterAutospacing="0" w:line="380" w:lineRule="exact"/>
              <w:ind w:left="0" w:right="0"/>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3119FE4F">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DN25</w:t>
            </w:r>
          </w:p>
        </w:tc>
        <w:tc>
          <w:tcPr>
            <w:tcW w:w="1989" w:type="dxa"/>
            <w:tcBorders>
              <w:top w:val="nil"/>
              <w:left w:val="nil"/>
              <w:bottom w:val="single" w:color="auto" w:sz="4" w:space="0"/>
              <w:right w:val="single" w:color="auto" w:sz="4" w:space="0"/>
            </w:tcBorders>
            <w:noWrap w:val="0"/>
            <w:vAlign w:val="center"/>
          </w:tcPr>
          <w:p w14:paraId="186708BD">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28</w:t>
            </w:r>
          </w:p>
        </w:tc>
        <w:tc>
          <w:tcPr>
            <w:tcW w:w="2321" w:type="dxa"/>
            <w:tcBorders>
              <w:top w:val="nil"/>
              <w:left w:val="nil"/>
              <w:bottom w:val="single" w:color="auto" w:sz="4" w:space="0"/>
              <w:right w:val="single" w:color="auto" w:sz="4" w:space="0"/>
            </w:tcBorders>
            <w:noWrap w:val="0"/>
            <w:vAlign w:val="center"/>
          </w:tcPr>
          <w:p w14:paraId="1B46281F">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1.2</w:t>
            </w:r>
          </w:p>
        </w:tc>
      </w:tr>
      <w:tr w14:paraId="60F9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75FB6466">
            <w:pPr>
              <w:keepNext w:val="0"/>
              <w:keepLines w:val="0"/>
              <w:pageBreakBefore w:val="0"/>
              <w:suppressLineNumbers w:val="0"/>
              <w:kinsoku/>
              <w:wordWrap/>
              <w:overflowPunct/>
              <w:topLinePunct w:val="0"/>
              <w:autoSpaceDN/>
              <w:bidi w:val="0"/>
              <w:spacing w:before="0" w:beforeAutospacing="0" w:after="0" w:afterAutospacing="0" w:line="380" w:lineRule="exact"/>
              <w:ind w:left="0" w:right="0"/>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20F499B8">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DN32</w:t>
            </w:r>
          </w:p>
        </w:tc>
        <w:tc>
          <w:tcPr>
            <w:tcW w:w="1989" w:type="dxa"/>
            <w:tcBorders>
              <w:top w:val="nil"/>
              <w:left w:val="nil"/>
              <w:bottom w:val="single" w:color="auto" w:sz="4" w:space="0"/>
              <w:right w:val="single" w:color="auto" w:sz="4" w:space="0"/>
            </w:tcBorders>
            <w:noWrap w:val="0"/>
            <w:vAlign w:val="center"/>
          </w:tcPr>
          <w:p w14:paraId="7399DFEE">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35</w:t>
            </w:r>
          </w:p>
        </w:tc>
        <w:tc>
          <w:tcPr>
            <w:tcW w:w="2321" w:type="dxa"/>
            <w:tcBorders>
              <w:top w:val="nil"/>
              <w:left w:val="nil"/>
              <w:bottom w:val="single" w:color="auto" w:sz="4" w:space="0"/>
              <w:right w:val="single" w:color="auto" w:sz="4" w:space="0"/>
            </w:tcBorders>
            <w:noWrap w:val="0"/>
            <w:vAlign w:val="center"/>
          </w:tcPr>
          <w:p w14:paraId="12059DD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1.2</w:t>
            </w:r>
          </w:p>
        </w:tc>
      </w:tr>
      <w:tr w14:paraId="270F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3A51E198">
            <w:pPr>
              <w:keepNext w:val="0"/>
              <w:keepLines w:val="0"/>
              <w:pageBreakBefore w:val="0"/>
              <w:suppressLineNumbers w:val="0"/>
              <w:kinsoku/>
              <w:wordWrap/>
              <w:overflowPunct/>
              <w:topLinePunct w:val="0"/>
              <w:autoSpaceDN/>
              <w:bidi w:val="0"/>
              <w:spacing w:before="0" w:beforeAutospacing="0" w:after="0" w:afterAutospacing="0" w:line="380" w:lineRule="exact"/>
              <w:ind w:left="0" w:right="0"/>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1ADE9DEB">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DN40</w:t>
            </w:r>
          </w:p>
        </w:tc>
        <w:tc>
          <w:tcPr>
            <w:tcW w:w="1989" w:type="dxa"/>
            <w:tcBorders>
              <w:top w:val="nil"/>
              <w:left w:val="nil"/>
              <w:bottom w:val="single" w:color="auto" w:sz="4" w:space="0"/>
              <w:right w:val="single" w:color="auto" w:sz="4" w:space="0"/>
            </w:tcBorders>
            <w:noWrap w:val="0"/>
            <w:vAlign w:val="center"/>
          </w:tcPr>
          <w:p w14:paraId="5DC96AAA">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42</w:t>
            </w:r>
          </w:p>
        </w:tc>
        <w:tc>
          <w:tcPr>
            <w:tcW w:w="2321" w:type="dxa"/>
            <w:tcBorders>
              <w:top w:val="nil"/>
              <w:left w:val="nil"/>
              <w:bottom w:val="single" w:color="auto" w:sz="4" w:space="0"/>
              <w:right w:val="single" w:color="auto" w:sz="4" w:space="0"/>
            </w:tcBorders>
            <w:noWrap w:val="0"/>
            <w:vAlign w:val="center"/>
          </w:tcPr>
          <w:p w14:paraId="3B0A713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1.2</w:t>
            </w:r>
          </w:p>
        </w:tc>
      </w:tr>
      <w:tr w14:paraId="34CA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7B88D7B1">
            <w:pPr>
              <w:keepNext w:val="0"/>
              <w:keepLines w:val="0"/>
              <w:pageBreakBefore w:val="0"/>
              <w:suppressLineNumbers w:val="0"/>
              <w:kinsoku/>
              <w:wordWrap/>
              <w:overflowPunct/>
              <w:topLinePunct w:val="0"/>
              <w:autoSpaceDN/>
              <w:bidi w:val="0"/>
              <w:spacing w:before="0" w:beforeAutospacing="0" w:after="0" w:afterAutospacing="0" w:line="380" w:lineRule="exact"/>
              <w:ind w:left="0" w:right="0"/>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0BDCEB94">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DN50</w:t>
            </w:r>
          </w:p>
        </w:tc>
        <w:tc>
          <w:tcPr>
            <w:tcW w:w="1989" w:type="dxa"/>
            <w:tcBorders>
              <w:top w:val="nil"/>
              <w:left w:val="nil"/>
              <w:bottom w:val="single" w:color="auto" w:sz="4" w:space="0"/>
              <w:right w:val="single" w:color="auto" w:sz="4" w:space="0"/>
            </w:tcBorders>
            <w:noWrap w:val="0"/>
            <w:vAlign w:val="center"/>
          </w:tcPr>
          <w:p w14:paraId="73740299">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54</w:t>
            </w:r>
          </w:p>
        </w:tc>
        <w:tc>
          <w:tcPr>
            <w:tcW w:w="2321" w:type="dxa"/>
            <w:tcBorders>
              <w:top w:val="nil"/>
              <w:left w:val="nil"/>
              <w:bottom w:val="single" w:color="auto" w:sz="4" w:space="0"/>
              <w:right w:val="single" w:color="auto" w:sz="4" w:space="0"/>
            </w:tcBorders>
            <w:noWrap w:val="0"/>
            <w:vAlign w:val="center"/>
          </w:tcPr>
          <w:p w14:paraId="2306866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1.2</w:t>
            </w:r>
          </w:p>
        </w:tc>
      </w:tr>
      <w:tr w14:paraId="3199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6DEB6EAD">
            <w:pPr>
              <w:keepNext w:val="0"/>
              <w:keepLines w:val="0"/>
              <w:pageBreakBefore w:val="0"/>
              <w:suppressLineNumbers w:val="0"/>
              <w:kinsoku/>
              <w:wordWrap/>
              <w:overflowPunct/>
              <w:topLinePunct w:val="0"/>
              <w:autoSpaceDN/>
              <w:bidi w:val="0"/>
              <w:spacing w:before="0" w:beforeAutospacing="0" w:after="0" w:afterAutospacing="0" w:line="380" w:lineRule="exact"/>
              <w:ind w:left="0" w:right="0"/>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6009B02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DN60</w:t>
            </w:r>
          </w:p>
        </w:tc>
        <w:tc>
          <w:tcPr>
            <w:tcW w:w="1989" w:type="dxa"/>
            <w:tcBorders>
              <w:top w:val="nil"/>
              <w:left w:val="nil"/>
              <w:bottom w:val="single" w:color="auto" w:sz="4" w:space="0"/>
              <w:right w:val="single" w:color="auto" w:sz="4" w:space="0"/>
            </w:tcBorders>
            <w:noWrap w:val="0"/>
            <w:vAlign w:val="center"/>
          </w:tcPr>
          <w:p w14:paraId="0775C0CD">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63.5</w:t>
            </w:r>
          </w:p>
        </w:tc>
        <w:tc>
          <w:tcPr>
            <w:tcW w:w="2321" w:type="dxa"/>
            <w:tcBorders>
              <w:top w:val="nil"/>
              <w:left w:val="nil"/>
              <w:bottom w:val="single" w:color="auto" w:sz="4" w:space="0"/>
              <w:right w:val="single" w:color="auto" w:sz="4" w:space="0"/>
            </w:tcBorders>
            <w:noWrap w:val="0"/>
            <w:vAlign w:val="center"/>
          </w:tcPr>
          <w:p w14:paraId="36906CE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1.3</w:t>
            </w:r>
          </w:p>
        </w:tc>
      </w:tr>
      <w:tr w14:paraId="52B5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nil"/>
              <w:left w:val="single" w:color="auto" w:sz="4" w:space="0"/>
              <w:bottom w:val="single" w:color="auto" w:sz="4" w:space="0"/>
              <w:right w:val="single" w:color="000000" w:sz="4" w:space="0"/>
            </w:tcBorders>
            <w:noWrap w:val="0"/>
            <w:vAlign w:val="center"/>
          </w:tcPr>
          <w:p w14:paraId="7AD3EE60">
            <w:pPr>
              <w:keepNext w:val="0"/>
              <w:keepLines w:val="0"/>
              <w:pageBreakBefore w:val="0"/>
              <w:suppressLineNumbers w:val="0"/>
              <w:kinsoku/>
              <w:wordWrap/>
              <w:overflowPunct/>
              <w:topLinePunct w:val="0"/>
              <w:autoSpaceDN/>
              <w:bidi w:val="0"/>
              <w:spacing w:before="0" w:beforeAutospacing="0" w:after="0" w:afterAutospacing="0" w:line="380" w:lineRule="exact"/>
              <w:ind w:left="0" w:right="0"/>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6FFFE9A2">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DN65</w:t>
            </w:r>
          </w:p>
        </w:tc>
        <w:tc>
          <w:tcPr>
            <w:tcW w:w="1989" w:type="dxa"/>
            <w:tcBorders>
              <w:top w:val="nil"/>
              <w:left w:val="nil"/>
              <w:bottom w:val="single" w:color="auto" w:sz="4" w:space="0"/>
              <w:right w:val="single" w:color="auto" w:sz="4" w:space="0"/>
            </w:tcBorders>
            <w:noWrap w:val="0"/>
            <w:vAlign w:val="center"/>
          </w:tcPr>
          <w:p w14:paraId="50AADA3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76.1</w:t>
            </w:r>
          </w:p>
        </w:tc>
        <w:tc>
          <w:tcPr>
            <w:tcW w:w="2321" w:type="dxa"/>
            <w:tcBorders>
              <w:top w:val="nil"/>
              <w:left w:val="nil"/>
              <w:bottom w:val="single" w:color="auto" w:sz="4" w:space="0"/>
              <w:right w:val="single" w:color="auto" w:sz="4" w:space="0"/>
            </w:tcBorders>
            <w:noWrap w:val="0"/>
            <w:vAlign w:val="center"/>
          </w:tcPr>
          <w:p w14:paraId="6310D28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1.5</w:t>
            </w:r>
          </w:p>
        </w:tc>
      </w:tr>
      <w:tr w14:paraId="3372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962" w:type="dxa"/>
            <w:vMerge w:val="continue"/>
            <w:tcBorders>
              <w:top w:val="single" w:color="auto" w:sz="4" w:space="0"/>
              <w:left w:val="single" w:color="auto" w:sz="4" w:space="0"/>
              <w:bottom w:val="single" w:color="000000" w:sz="4" w:space="0"/>
              <w:right w:val="single" w:color="000000" w:sz="4" w:space="0"/>
            </w:tcBorders>
            <w:noWrap w:val="0"/>
            <w:vAlign w:val="center"/>
          </w:tcPr>
          <w:p w14:paraId="2DF42F65">
            <w:pPr>
              <w:keepNext w:val="0"/>
              <w:keepLines w:val="0"/>
              <w:pageBreakBefore w:val="0"/>
              <w:suppressLineNumbers w:val="0"/>
              <w:kinsoku/>
              <w:wordWrap/>
              <w:overflowPunct/>
              <w:topLinePunct w:val="0"/>
              <w:autoSpaceDN/>
              <w:bidi w:val="0"/>
              <w:spacing w:before="0" w:beforeAutospacing="0" w:after="0" w:afterAutospacing="0" w:line="380" w:lineRule="exact"/>
              <w:ind w:left="0" w:right="0"/>
              <w:textAlignment w:val="auto"/>
              <w:rPr>
                <w:rFonts w:hint="eastAsia" w:ascii="宋体" w:hAnsi="宋体" w:eastAsia="宋体" w:cs="宋体"/>
                <w:sz w:val="24"/>
                <w:szCs w:val="24"/>
                <w:highlight w:val="none"/>
              </w:rPr>
            </w:pPr>
          </w:p>
        </w:tc>
        <w:tc>
          <w:tcPr>
            <w:tcW w:w="1906" w:type="dxa"/>
            <w:tcBorders>
              <w:top w:val="single" w:color="auto" w:sz="4" w:space="0"/>
              <w:left w:val="nil"/>
              <w:bottom w:val="single" w:color="auto" w:sz="4" w:space="0"/>
              <w:right w:val="single" w:color="auto" w:sz="4" w:space="0"/>
            </w:tcBorders>
            <w:noWrap w:val="0"/>
            <w:vAlign w:val="center"/>
          </w:tcPr>
          <w:p w14:paraId="2808EABA">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DN80</w:t>
            </w:r>
          </w:p>
        </w:tc>
        <w:tc>
          <w:tcPr>
            <w:tcW w:w="1989" w:type="dxa"/>
            <w:tcBorders>
              <w:top w:val="single" w:color="auto" w:sz="4" w:space="0"/>
              <w:left w:val="nil"/>
              <w:bottom w:val="single" w:color="auto" w:sz="4" w:space="0"/>
              <w:right w:val="single" w:color="auto" w:sz="4" w:space="0"/>
            </w:tcBorders>
            <w:noWrap w:val="0"/>
            <w:vAlign w:val="center"/>
          </w:tcPr>
          <w:p w14:paraId="64312252">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88.9</w:t>
            </w:r>
          </w:p>
        </w:tc>
        <w:tc>
          <w:tcPr>
            <w:tcW w:w="2321" w:type="dxa"/>
            <w:tcBorders>
              <w:top w:val="single" w:color="auto" w:sz="4" w:space="0"/>
              <w:left w:val="nil"/>
              <w:bottom w:val="single" w:color="auto" w:sz="4" w:space="0"/>
              <w:right w:val="single" w:color="auto" w:sz="4" w:space="0"/>
            </w:tcBorders>
            <w:noWrap w:val="0"/>
            <w:vAlign w:val="center"/>
          </w:tcPr>
          <w:p w14:paraId="2828079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1.5</w:t>
            </w:r>
          </w:p>
        </w:tc>
      </w:tr>
      <w:tr w14:paraId="45D4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2962" w:type="dxa"/>
            <w:vMerge w:val="continue"/>
            <w:tcBorders>
              <w:top w:val="nil"/>
              <w:left w:val="single" w:color="auto" w:sz="4" w:space="0"/>
              <w:bottom w:val="single" w:color="000000" w:sz="4" w:space="0"/>
              <w:right w:val="single" w:color="000000" w:sz="4" w:space="0"/>
            </w:tcBorders>
            <w:noWrap w:val="0"/>
            <w:vAlign w:val="center"/>
          </w:tcPr>
          <w:p w14:paraId="2C41994E">
            <w:pPr>
              <w:keepNext w:val="0"/>
              <w:keepLines w:val="0"/>
              <w:pageBreakBefore w:val="0"/>
              <w:suppressLineNumbers w:val="0"/>
              <w:kinsoku/>
              <w:wordWrap/>
              <w:overflowPunct/>
              <w:topLinePunct w:val="0"/>
              <w:autoSpaceDN/>
              <w:bidi w:val="0"/>
              <w:spacing w:before="0" w:beforeAutospacing="0" w:after="0" w:afterAutospacing="0" w:line="380" w:lineRule="exact"/>
              <w:ind w:left="0" w:right="0"/>
              <w:textAlignment w:val="auto"/>
              <w:rPr>
                <w:rFonts w:hint="eastAsia" w:ascii="宋体" w:hAnsi="宋体" w:eastAsia="宋体" w:cs="宋体"/>
                <w:sz w:val="24"/>
                <w:szCs w:val="24"/>
                <w:highlight w:val="none"/>
              </w:rPr>
            </w:pPr>
          </w:p>
        </w:tc>
        <w:tc>
          <w:tcPr>
            <w:tcW w:w="1906" w:type="dxa"/>
            <w:tcBorders>
              <w:top w:val="nil"/>
              <w:left w:val="nil"/>
              <w:bottom w:val="single" w:color="auto" w:sz="4" w:space="0"/>
              <w:right w:val="single" w:color="auto" w:sz="4" w:space="0"/>
            </w:tcBorders>
            <w:noWrap w:val="0"/>
            <w:vAlign w:val="center"/>
          </w:tcPr>
          <w:p w14:paraId="49762CBB">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DN100</w:t>
            </w:r>
          </w:p>
        </w:tc>
        <w:tc>
          <w:tcPr>
            <w:tcW w:w="1989" w:type="dxa"/>
            <w:tcBorders>
              <w:top w:val="nil"/>
              <w:left w:val="nil"/>
              <w:bottom w:val="single" w:color="auto" w:sz="4" w:space="0"/>
              <w:right w:val="single" w:color="auto" w:sz="4" w:space="0"/>
            </w:tcBorders>
            <w:noWrap w:val="0"/>
            <w:vAlign w:val="center"/>
          </w:tcPr>
          <w:p w14:paraId="46E1F868">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108</w:t>
            </w:r>
          </w:p>
        </w:tc>
        <w:tc>
          <w:tcPr>
            <w:tcW w:w="2321" w:type="dxa"/>
            <w:tcBorders>
              <w:top w:val="nil"/>
              <w:left w:val="nil"/>
              <w:bottom w:val="single" w:color="auto" w:sz="4" w:space="0"/>
              <w:right w:val="single" w:color="auto" w:sz="4" w:space="0"/>
            </w:tcBorders>
            <w:noWrap w:val="0"/>
            <w:vAlign w:val="center"/>
          </w:tcPr>
          <w:p w14:paraId="77243339">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firstLine="56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1.5</w:t>
            </w:r>
          </w:p>
        </w:tc>
      </w:tr>
      <w:tr w14:paraId="0C7B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9178" w:type="dxa"/>
            <w:gridSpan w:val="4"/>
            <w:tcBorders>
              <w:top w:val="single" w:color="auto" w:sz="4" w:space="0"/>
              <w:left w:val="single" w:color="auto" w:sz="4" w:space="0"/>
              <w:bottom w:val="single" w:color="auto" w:sz="4" w:space="0"/>
              <w:right w:val="single" w:color="auto" w:sz="4" w:space="0"/>
            </w:tcBorders>
            <w:noWrap w:val="0"/>
            <w:vAlign w:val="center"/>
          </w:tcPr>
          <w:p w14:paraId="0167AF7B">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lang w:val="en-US" w:eastAsia="zh-CN" w:bidi="ar"/>
              </w:rPr>
              <w:t>注：管件壁厚为最薄处壁厚</w:t>
            </w:r>
          </w:p>
        </w:tc>
      </w:tr>
    </w:tbl>
    <w:p w14:paraId="3650CB1D">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6、按照《不锈钢卡压式管件组</w:t>
      </w:r>
      <w:r>
        <w:rPr>
          <w:rFonts w:hint="eastAsia" w:cs="宋体"/>
          <w:bCs/>
          <w:kern w:val="0"/>
          <w:sz w:val="24"/>
          <w:szCs w:val="24"/>
          <w:highlight w:val="none"/>
          <w:lang w:val="en-US" w:eastAsia="zh-CN" w:bidi="ar"/>
        </w:rPr>
        <w:t>件</w:t>
      </w:r>
      <w:r>
        <w:rPr>
          <w:rFonts w:hint="eastAsia" w:ascii="宋体" w:hAnsi="宋体" w:eastAsia="宋体" w:cs="宋体"/>
          <w:bCs/>
          <w:kern w:val="0"/>
          <w:sz w:val="24"/>
          <w:szCs w:val="24"/>
          <w:highlight w:val="none"/>
          <w:lang w:val="en-US" w:eastAsia="zh-CN" w:bidi="ar"/>
        </w:rPr>
        <w:t>》GB/T19228要求不锈钢管管道和管件的制作管道工艺加工制作管道和管件,生产厂家必须具备此次招标材料生产和加工能力，管件的壁厚不得小于同规格管材壁厚。</w:t>
      </w:r>
    </w:p>
    <w:p w14:paraId="7F718EB8">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7、生产厂家必须有影响使用寿命关键工艺：气体保护焊接；酸洗钝化处理；固溶处理；工艺设备需提供盖公章的购买设备合同原件及提供轮廓清晰的三种角度的设备照片（相纸照片尺寸为A4大小）。（本次报价无需提供）管材管件在厂内的检验：a.水管：逐根进行气密性试验或涡流探伤；b.管件：逐个进行气密性检验。招标人在中标人供货之前对工艺和设备照相取证，发现投标人作假，没有此设备、没有此工艺或者工艺标准与投标时不符合，或招标人当时未发现，招标人在工厂监造时发现上述造假行为，招标人将按规定全部退货，按程序中止此合同。</w:t>
      </w:r>
    </w:p>
    <w:p w14:paraId="3BA7EA6B">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default"/>
          <w:highlight w:val="none"/>
          <w:lang w:val="en-US"/>
        </w:rPr>
      </w:pPr>
      <w:r>
        <w:rPr>
          <w:rFonts w:hint="eastAsia" w:ascii="宋体" w:hAnsi="宋体" w:eastAsia="宋体" w:cs="宋体"/>
          <w:bCs/>
          <w:kern w:val="0"/>
          <w:sz w:val="24"/>
          <w:szCs w:val="24"/>
          <w:highlight w:val="none"/>
          <w:lang w:val="en-US" w:eastAsia="zh-CN" w:bidi="ar"/>
        </w:rPr>
        <w:t>8、不锈钢原材料须采用国内知名企业浦项（张家港）不锈钢股份有限公司、山西太钢不锈钢股份有限公司</w:t>
      </w:r>
      <w:r>
        <w:rPr>
          <w:rFonts w:hint="eastAsia" w:cs="宋体"/>
          <w:bCs/>
          <w:kern w:val="0"/>
          <w:sz w:val="24"/>
          <w:szCs w:val="24"/>
          <w:highlight w:val="none"/>
          <w:lang w:val="en-US" w:eastAsia="zh-CN" w:bidi="ar"/>
        </w:rPr>
        <w:t>、江苏德龙镍业有限公司、青山控股集团有限公司、甬金科技集团股份有限公司等</w:t>
      </w:r>
      <w:r>
        <w:rPr>
          <w:rFonts w:hint="eastAsia" w:ascii="宋体" w:hAnsi="宋体" w:eastAsia="宋体" w:cs="宋体"/>
          <w:bCs/>
          <w:kern w:val="0"/>
          <w:sz w:val="24"/>
          <w:szCs w:val="24"/>
          <w:highlight w:val="none"/>
          <w:lang w:val="en-US" w:eastAsia="zh-CN" w:bidi="ar"/>
        </w:rPr>
        <w:t>生产的，并提供完整证明材料，包括采购合同、付款证明、发票（如代理商处采购需提供钢厂与代理商的合作或授权证明，采购合同和发票上必须注明材料产地名称），发票在线核查。提供202</w:t>
      </w:r>
      <w:r>
        <w:rPr>
          <w:rFonts w:hint="eastAsia" w:cs="宋体"/>
          <w:bCs/>
          <w:kern w:val="0"/>
          <w:sz w:val="24"/>
          <w:szCs w:val="24"/>
          <w:highlight w:val="none"/>
          <w:lang w:val="en-US" w:eastAsia="zh-CN" w:bidi="ar"/>
        </w:rPr>
        <w:t>5</w:t>
      </w:r>
      <w:r>
        <w:rPr>
          <w:rFonts w:hint="eastAsia" w:ascii="宋体" w:hAnsi="宋体" w:eastAsia="宋体" w:cs="宋体"/>
          <w:bCs/>
          <w:kern w:val="0"/>
          <w:sz w:val="24"/>
          <w:szCs w:val="24"/>
          <w:highlight w:val="none"/>
          <w:lang w:val="en-US" w:eastAsia="zh-CN" w:bidi="ar"/>
        </w:rPr>
        <w:t>年1到12月份向浦项（张家港）不锈钢股份有限公司、山西太钢不锈钢股份有限公司</w:t>
      </w:r>
      <w:r>
        <w:rPr>
          <w:rFonts w:hint="eastAsia" w:cs="宋体"/>
          <w:bCs/>
          <w:kern w:val="0"/>
          <w:sz w:val="24"/>
          <w:szCs w:val="24"/>
          <w:highlight w:val="none"/>
          <w:lang w:val="en-US" w:eastAsia="zh-CN" w:bidi="ar"/>
        </w:rPr>
        <w:t>、江苏德龙镍业有限公司、青山控股集团有限公司、甬金科技集团股份有限公司等五</w:t>
      </w:r>
      <w:r>
        <w:rPr>
          <w:rFonts w:hint="eastAsia" w:ascii="宋体" w:hAnsi="宋体" w:eastAsia="宋体" w:cs="宋体"/>
          <w:bCs/>
          <w:kern w:val="0"/>
          <w:sz w:val="24"/>
          <w:szCs w:val="24"/>
          <w:highlight w:val="none"/>
          <w:lang w:val="en-US" w:eastAsia="zh-CN" w:bidi="ar"/>
        </w:rPr>
        <w:t>家板材所有采购合同及发票，并提供完整证明材料，发票在线核查。</w:t>
      </w:r>
      <w:r>
        <w:rPr>
          <w:rFonts w:hint="eastAsia" w:cs="宋体"/>
          <w:bCs/>
          <w:kern w:val="0"/>
          <w:sz w:val="24"/>
          <w:szCs w:val="24"/>
          <w:highlight w:val="none"/>
          <w:lang w:val="en-US" w:eastAsia="zh-CN" w:bidi="ar"/>
        </w:rPr>
        <w:t>（本次报价无需提供）</w:t>
      </w:r>
    </w:p>
    <w:p w14:paraId="204E8269">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连接</w:t>
      </w:r>
      <w:r>
        <w:rPr>
          <w:rFonts w:hint="eastAsia" w:cs="宋体"/>
          <w:bCs/>
          <w:kern w:val="0"/>
          <w:sz w:val="24"/>
          <w:szCs w:val="24"/>
          <w:highlight w:val="none"/>
          <w:lang w:val="en-US" w:eastAsia="zh-CN" w:bidi="ar"/>
        </w:rPr>
        <w:t>形式</w:t>
      </w:r>
    </w:p>
    <w:p w14:paraId="4C0510F7">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9、管材尺寸小于等于DN100时采用双卡压连接，管材尺寸大于DN100时，采用沟槽式（局部法兰）连接。沟槽管件执行标准《薄壁不锈钢卡压式和沟槽式管件》CJ/T152-2016的要求，厂家负责施工的指导。</w:t>
      </w:r>
    </w:p>
    <w:p w14:paraId="68FA289B">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10、严禁在薄壁不锈钢管及配件道上制作螺纹，当需要与螺纹或法兰的管道附件连接时，应采用专门的螺纹或法兰转换管件，并核对螺纹连接、法兰形式和公差配合。为防电化学腐蚀，不锈钢管和管件不可与镀锌钢管管材或管件直接连接。不锈钢法兰片与铁质法兰片连接时，中间必须用橡胶密封材料做隔绝。紧固法兰的螺栓和螺母应采用不锈钢材质。</w:t>
      </w:r>
    </w:p>
    <w:p w14:paraId="45934866">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11、包装：管材成捆包装，管材两端应予适当保护以免运输的破坏，管件用纸箱包装，管材、管件的包装应符合长途运输的要求。</w:t>
      </w:r>
    </w:p>
    <w:p w14:paraId="494CA087">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default"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12、交货：提供供货产品的出厂检验报告（包括涂层），产品合格证，涉水产品卫生许可证（包括涂层），配件、备品备件清单，以及相关技术资料；供货产品名称以材料名录</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附件</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为准。</w:t>
      </w:r>
    </w:p>
    <w:p w14:paraId="39B44E18">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现场到货检验</w:t>
      </w:r>
    </w:p>
    <w:p w14:paraId="1DD1BB7F">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13、材料：管件的常用材料应符合GB/T 19228.2-2011表5的规定。转换接头采用不锈钢铸造时，应符合GB/T 2100-2017的规定。（此项为抽查或客户有需要时）</w:t>
      </w:r>
    </w:p>
    <w:p w14:paraId="04320E6B">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14、外观：钢管外观用目测检验，钢管内外表面应光滑，不得有折叠，分层、毛刺、过酸及氧化铁皮，轻微划伤，压坑、麻点等深度不超过壁厚负偏差值，切口无毛刺；外焊缝应与母材平齐并圆滑过渡，钢管焊缝应与母材齐平；焊缝表面应无裂纹，假焊，气孔、咬边、夹渣、火色，内外面必须光滑。管件外观应清洁光滑，焊缝表面应无裂纹、气孔、咬边等缺陷，其外表面允许有轻微的模痕，但不应有明显的凹凸不平和超过壁厚负偏差的划痕。管件外观在日光或灯光照明下用目测法检验。</w:t>
      </w:r>
    </w:p>
    <w:p w14:paraId="4D476ACC">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15、尺寸：钢管的尺寸检验使用相应精度的测量工具测量；管件的尺寸公差应符合GB/T 19228.1－</w:t>
      </w:r>
      <w:r>
        <w:rPr>
          <w:rFonts w:hint="eastAsia" w:cs="宋体"/>
          <w:bCs/>
          <w:kern w:val="0"/>
          <w:sz w:val="24"/>
          <w:szCs w:val="24"/>
          <w:highlight w:val="none"/>
          <w:lang w:val="en-US" w:eastAsia="zh-CN" w:bidi="ar"/>
        </w:rPr>
        <w:t>2024</w:t>
      </w:r>
      <w:r>
        <w:rPr>
          <w:rFonts w:hint="eastAsia" w:ascii="宋体" w:hAnsi="宋体" w:eastAsia="宋体" w:cs="宋体"/>
          <w:bCs/>
          <w:kern w:val="0"/>
          <w:sz w:val="24"/>
          <w:szCs w:val="24"/>
          <w:highlight w:val="none"/>
          <w:lang w:val="en-US" w:eastAsia="zh-CN" w:bidi="ar"/>
        </w:rPr>
        <w:t>表3～表22的规定。</w:t>
      </w:r>
    </w:p>
    <w:p w14:paraId="1D708AA3">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16、包装：钢管一般采用捆扎包装件形式，每捆应是同一批号的钢管，每捆应不超过1000kg、数量不超过400根；成捆钢管应用捆扎牢固，并且成捆钢管至少一端应放置整齐；钢管在捆扎前至少用不含氯离子成分的麻袋布或塑料布把成捆钢管紧密包裹。管件应放入洁净的塑料袋内并封口，装进纸质包装箱或者木质包装箱内，箱内应附有质量证明书；包装箱上应有产品名称、数量、重量、箱体尺寸、标记、制造厂名等字样。</w:t>
      </w:r>
    </w:p>
    <w:p w14:paraId="32A87C54">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17、每个工程项目必须对外观</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1.7.2</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、尺寸</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1.7.3</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及包装</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1.7.4</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进行检验；对材料</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1.7.1</w:t>
      </w:r>
      <w:r>
        <w:rPr>
          <w:rFonts w:hint="eastAsia"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可根据需要进行抽检。</w:t>
      </w:r>
    </w:p>
    <w:p w14:paraId="3F648F8E">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18、安装施工要求:符合《建筑给水排水薄壁不锈钢管连接技术规程》</w:t>
      </w:r>
      <w:r>
        <w:rPr>
          <w:rFonts w:hint="eastAsia" w:cs="宋体"/>
          <w:bCs/>
          <w:kern w:val="0"/>
          <w:sz w:val="24"/>
          <w:szCs w:val="24"/>
          <w:highlight w:val="none"/>
          <w:lang w:val="en-US" w:eastAsia="zh-CN" w:bidi="ar"/>
        </w:rPr>
        <w:t>T/</w:t>
      </w:r>
      <w:r>
        <w:rPr>
          <w:rFonts w:hint="eastAsia" w:ascii="宋体" w:hAnsi="宋体" w:eastAsia="宋体" w:cs="宋体"/>
          <w:bCs/>
          <w:kern w:val="0"/>
          <w:sz w:val="24"/>
          <w:szCs w:val="24"/>
          <w:highlight w:val="none"/>
          <w:lang w:val="en-US" w:eastAsia="zh-CN" w:bidi="ar"/>
        </w:rPr>
        <w:t>CECS277</w:t>
      </w:r>
      <w:r>
        <w:rPr>
          <w:rFonts w:hint="eastAsia" w:cs="宋体"/>
          <w:bCs/>
          <w:kern w:val="0"/>
          <w:sz w:val="24"/>
          <w:szCs w:val="24"/>
          <w:highlight w:val="none"/>
          <w:lang w:val="en-US" w:eastAsia="zh-CN" w:bidi="ar"/>
        </w:rPr>
        <w:t>-2021</w:t>
      </w:r>
      <w:r>
        <w:rPr>
          <w:rFonts w:hint="eastAsia" w:ascii="宋体" w:hAnsi="宋体" w:eastAsia="宋体" w:cs="宋体"/>
          <w:bCs/>
          <w:kern w:val="0"/>
          <w:sz w:val="24"/>
          <w:szCs w:val="24"/>
          <w:highlight w:val="none"/>
          <w:lang w:val="en-US" w:eastAsia="zh-CN" w:bidi="ar"/>
        </w:rPr>
        <w:t>、《建筑给水薄壁不锈钢管管道工程技术规程》</w:t>
      </w:r>
      <w:r>
        <w:rPr>
          <w:rFonts w:hint="eastAsia" w:cs="宋体"/>
          <w:bCs/>
          <w:kern w:val="0"/>
          <w:sz w:val="24"/>
          <w:szCs w:val="24"/>
          <w:highlight w:val="none"/>
          <w:lang w:val="en-US" w:eastAsia="zh-CN" w:bidi="ar"/>
        </w:rPr>
        <w:t>T/</w:t>
      </w:r>
      <w:r>
        <w:rPr>
          <w:rFonts w:hint="eastAsia" w:ascii="宋体" w:hAnsi="宋体" w:eastAsia="宋体" w:cs="宋体"/>
          <w:bCs/>
          <w:kern w:val="0"/>
          <w:sz w:val="24"/>
          <w:szCs w:val="24"/>
          <w:highlight w:val="none"/>
          <w:lang w:val="en-US" w:eastAsia="zh-CN" w:bidi="ar"/>
        </w:rPr>
        <w:t>CECS 153-2018和国标图集《建筑给水薄壁不锈钢管</w:t>
      </w:r>
      <w:r>
        <w:rPr>
          <w:rFonts w:hint="eastAsia" w:cs="宋体"/>
          <w:bCs/>
          <w:kern w:val="0"/>
          <w:sz w:val="24"/>
          <w:szCs w:val="24"/>
          <w:highlight w:val="none"/>
          <w:lang w:val="en-US" w:eastAsia="zh-CN" w:bidi="ar"/>
        </w:rPr>
        <w:t>道安装</w:t>
      </w:r>
      <w:r>
        <w:rPr>
          <w:rFonts w:hint="eastAsia" w:ascii="宋体" w:hAnsi="宋体" w:eastAsia="宋体" w:cs="宋体"/>
          <w:bCs/>
          <w:kern w:val="0"/>
          <w:sz w:val="24"/>
          <w:szCs w:val="24"/>
          <w:highlight w:val="none"/>
          <w:lang w:val="en-US" w:eastAsia="zh-CN" w:bidi="ar"/>
        </w:rPr>
        <w:t>》</w:t>
      </w:r>
      <w:r>
        <w:rPr>
          <w:rFonts w:hint="eastAsia" w:cs="宋体"/>
          <w:bCs/>
          <w:kern w:val="0"/>
          <w:sz w:val="24"/>
          <w:szCs w:val="24"/>
          <w:highlight w:val="none"/>
          <w:lang w:val="en-US" w:eastAsia="zh-CN" w:bidi="ar"/>
        </w:rPr>
        <w:t>22</w:t>
      </w:r>
      <w:r>
        <w:rPr>
          <w:rFonts w:hint="eastAsia" w:ascii="宋体" w:hAnsi="宋体" w:eastAsia="宋体" w:cs="宋体"/>
          <w:bCs/>
          <w:kern w:val="0"/>
          <w:sz w:val="24"/>
          <w:szCs w:val="24"/>
          <w:highlight w:val="none"/>
          <w:lang w:val="en-US" w:eastAsia="zh-CN" w:bidi="ar"/>
        </w:rPr>
        <w:t>S407-2。</w:t>
      </w:r>
    </w:p>
    <w:p w14:paraId="57823278">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19、卡压式不锈钢分水器：公称压力为≥1.6Mpa，其极限工作压力应能满足管网试验压力（P＋0.5MPa）。主管两侧为卡压接头，分管均为固定内螺纹，间隔220mm。</w:t>
      </w:r>
    </w:p>
    <w:p w14:paraId="0E602F91">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20、设计、制造应符合如下标准：</w:t>
      </w:r>
    </w:p>
    <w:p w14:paraId="2B2D2E98">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《55°密封管螺纹GB/T 7306-2000》</w:t>
      </w:r>
    </w:p>
    <w:p w14:paraId="6F8E30E7">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《不锈钢卡压式管件组件 第1部分：卡压式管件 GB/T19228.1-20</w:t>
      </w:r>
      <w:r>
        <w:rPr>
          <w:rFonts w:hint="eastAsia" w:cs="宋体"/>
          <w:bCs/>
          <w:kern w:val="0"/>
          <w:sz w:val="24"/>
          <w:szCs w:val="24"/>
          <w:highlight w:val="none"/>
          <w:lang w:val="en-US" w:eastAsia="zh-CN" w:bidi="ar"/>
        </w:rPr>
        <w:t>24</w:t>
      </w:r>
      <w:r>
        <w:rPr>
          <w:rFonts w:hint="eastAsia" w:ascii="宋体" w:hAnsi="宋体" w:eastAsia="宋体" w:cs="宋体"/>
          <w:bCs/>
          <w:kern w:val="0"/>
          <w:sz w:val="24"/>
          <w:szCs w:val="24"/>
          <w:highlight w:val="none"/>
          <w:lang w:val="en-US" w:eastAsia="zh-CN" w:bidi="ar"/>
        </w:rPr>
        <w:t>》</w:t>
      </w:r>
    </w:p>
    <w:p w14:paraId="4AF2923A">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《不锈钢卡压式管件组件 第2部分：连接用薄壁不锈钢管  GB/T19228.2-2011》</w:t>
      </w:r>
    </w:p>
    <w:p w14:paraId="1A9D0504">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lang w:val="en-US" w:eastAsia="zh-CN" w:bidi="ar"/>
        </w:rPr>
      </w:pPr>
      <w:r>
        <w:rPr>
          <w:rFonts w:hint="eastAsia" w:ascii="宋体" w:hAnsi="宋体" w:eastAsia="宋体" w:cs="宋体"/>
          <w:bCs/>
          <w:kern w:val="0"/>
          <w:sz w:val="24"/>
          <w:szCs w:val="24"/>
          <w:highlight w:val="none"/>
          <w:lang w:val="en-US" w:eastAsia="zh-CN" w:bidi="ar"/>
        </w:rPr>
        <w:t>《生活饮用水输配水设备及防护材料卫生安全评价规范》(2001)</w:t>
      </w:r>
    </w:p>
    <w:p w14:paraId="3347837F">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（注：本技术条款中引用的规范、标准等均采用现行最新版本。）</w:t>
      </w:r>
    </w:p>
    <w:p w14:paraId="7E951FED">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21、卫生性能须通过《生活饮用水输配水设备及防护材料卫生安全评价规范》(2001)卫生标准，并出具省级及以上卫生部门的卫生许可批件。</w:t>
      </w:r>
    </w:p>
    <w:p w14:paraId="40013E32">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22、螺纹尺寸和精度应符合GB/T7306.2-2000的规定，螺纹锥度为1：16，螺纹数不得小于6牙。</w:t>
      </w:r>
    </w:p>
    <w:p w14:paraId="621A44A9">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23、分水器有螺纹侧，除螺牙间距外，应有不低于30mm的安装距离。</w:t>
      </w:r>
    </w:p>
    <w:p w14:paraId="1FC8B283">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24、分水器材质为食品级SUS30408不锈钢，其主管壁厚1.5mm。</w:t>
      </w:r>
    </w:p>
    <w:p w14:paraId="0F1D8958">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25、分水器的主材（不锈钢管）按照 GB/T19228进行液压试验、压扁试验、扩口试验，气密试验、晶间腐蚀试验、盐雾试验及力学性能测试；并出具检测报告。</w:t>
      </w:r>
      <w:r>
        <w:rPr>
          <w:rFonts w:hint="eastAsia" w:cs="宋体"/>
          <w:bCs/>
          <w:kern w:val="0"/>
          <w:sz w:val="24"/>
          <w:szCs w:val="24"/>
          <w:highlight w:val="none"/>
          <w:lang w:val="en-US" w:eastAsia="zh-CN" w:bidi="ar"/>
        </w:rPr>
        <w:t>（本次报价无需提供）</w:t>
      </w:r>
    </w:p>
    <w:p w14:paraId="4A351611">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70" w:lineRule="exact"/>
        <w:ind w:left="0" w:right="0" w:firstLine="480" w:firstLineChars="200"/>
        <w:contextualSpacing/>
        <w:jc w:val="both"/>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26、分水器的主材（不锈钢管）应采用添加或不添加填充金属的自动电弧焊接方法制造。当钢管制造过程中添加了填充金属材料时，其填充金属材料的合金成分应高于母材。表面应无裂缝、气孔、咬边、夹渣等缺陷；外观应光滑，不应有裂痕、气孔、咬边等缺陷，其外表面允许有轻微的模痕，但不应有明显的凹凸不平和超出壁厚负偏差的划痕，纵向划痕深度不应大于名义壁厚的10％。</w:t>
      </w:r>
    </w:p>
    <w:p w14:paraId="0B43C12D">
      <w:pPr>
        <w:keepNext w:val="0"/>
        <w:keepLines w:val="0"/>
        <w:pageBreakBefore w:val="0"/>
        <w:widowControl w:val="0"/>
        <w:kinsoku/>
        <w:wordWrap/>
        <w:overflowPunct/>
        <w:topLinePunct w:val="0"/>
        <w:autoSpaceDE/>
        <w:autoSpaceDN/>
        <w:bidi w:val="0"/>
        <w:adjustRightInd w:val="0"/>
        <w:snapToGrid w:val="0"/>
        <w:spacing w:line="37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val="en-US" w:eastAsia="zh-CN" w:bidi="ar"/>
        </w:rPr>
        <w:t>27、产品的说明书需标明以下数据：规格、型号、工件压力、制造标准、材质、厂名、出厂日期、卫生批件编号等。</w:t>
      </w:r>
    </w:p>
    <w:p w14:paraId="01BA6556">
      <w:pPr>
        <w:keepNext w:val="0"/>
        <w:keepLines w:val="0"/>
        <w:pageBreakBefore w:val="0"/>
        <w:widowControl w:val="0"/>
        <w:kinsoku/>
        <w:wordWrap/>
        <w:overflowPunct/>
        <w:topLinePunct w:val="0"/>
        <w:autoSpaceDE/>
        <w:autoSpaceDN/>
        <w:bidi w:val="0"/>
        <w:adjustRightInd/>
        <w:snapToGrid/>
        <w:spacing w:line="370" w:lineRule="exact"/>
        <w:ind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供货周期要求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 年。报价单位应根据招标人通知要求的时间、 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24ED28B4">
      <w:pPr>
        <w:pStyle w:val="31"/>
        <w:keepNext w:val="0"/>
        <w:keepLines w:val="0"/>
        <w:pageBreakBefore w:val="0"/>
        <w:widowControl w:val="0"/>
        <w:kinsoku/>
        <w:wordWrap/>
        <w:overflowPunct/>
        <w:topLinePunct w:val="0"/>
        <w:autoSpaceDE/>
        <w:autoSpaceDN/>
        <w:bidi w:val="0"/>
        <w:snapToGrid w:val="0"/>
        <w:spacing w:line="370" w:lineRule="exact"/>
        <w:ind w:firstLine="482" w:firstLineChars="200"/>
        <w:contextualSpacing/>
        <w:textAlignment w:val="auto"/>
        <w:rPr>
          <w:rStyle w:val="28"/>
          <w:rFonts w:hint="default" w:ascii="宋体" w:hAnsi="宋体" w:eastAsia="宋体" w:cs="宋体"/>
          <w:kern w:val="0"/>
          <w:sz w:val="24"/>
          <w:szCs w:val="24"/>
          <w:highlight w:val="none"/>
          <w:lang w:val="en-US" w:eastAsia="zh-CN"/>
        </w:rPr>
      </w:pPr>
      <w:r>
        <w:rPr>
          <w:rStyle w:val="28"/>
          <w:rFonts w:hint="eastAsia" w:ascii="宋体" w:hAnsi="宋体" w:eastAsia="宋体" w:cs="宋体"/>
          <w:b/>
          <w:bCs/>
          <w:kern w:val="0"/>
          <w:sz w:val="24"/>
          <w:szCs w:val="24"/>
          <w:highlight w:val="none"/>
          <w:lang w:val="en-US" w:eastAsia="zh-CN"/>
        </w:rPr>
        <w:t>（三）质保要求</w:t>
      </w:r>
      <w:r>
        <w:rPr>
          <w:rStyle w:val="28"/>
          <w:rFonts w:hint="eastAsia" w:ascii="宋体" w:hAnsi="宋体" w:eastAsia="宋体" w:cs="宋体"/>
          <w:kern w:val="0"/>
          <w:sz w:val="24"/>
          <w:szCs w:val="24"/>
          <w:highlight w:val="none"/>
          <w:lang w:val="en-US" w:eastAsia="zh-CN"/>
        </w:rPr>
        <w:t>：</w:t>
      </w:r>
      <w:r>
        <w:rPr>
          <w:rFonts w:hint="eastAsia" w:ascii="宋体" w:hAnsi="宋体" w:eastAsia="宋体" w:cs="宋体"/>
          <w:color w:val="auto"/>
          <w:sz w:val="24"/>
          <w:szCs w:val="24"/>
          <w:highlight w:val="none"/>
          <w:lang w:val="en-US" w:eastAsia="zh-CN"/>
        </w:rPr>
        <w:t>报价单位</w:t>
      </w:r>
      <w:r>
        <w:rPr>
          <w:rStyle w:val="28"/>
          <w:rFonts w:hint="eastAsia" w:ascii="宋体" w:hAnsi="宋体" w:eastAsia="宋体" w:cs="宋体"/>
          <w:kern w:val="0"/>
          <w:sz w:val="24"/>
          <w:szCs w:val="24"/>
          <w:highlight w:val="none"/>
          <w:lang w:val="en-US" w:eastAsia="zh-CN"/>
        </w:rPr>
        <w:t>报价时须承诺所供货物的免费质保期为1年</w:t>
      </w:r>
      <w:r>
        <w:rPr>
          <w:rStyle w:val="28"/>
          <w:rFonts w:hint="eastAsia" w:ascii="宋体" w:eastAsia="宋体" w:cs="宋体"/>
          <w:kern w:val="0"/>
          <w:sz w:val="24"/>
          <w:szCs w:val="24"/>
          <w:highlight w:val="none"/>
          <w:lang w:val="en-US" w:eastAsia="zh-CN"/>
        </w:rPr>
        <w:t>（</w:t>
      </w:r>
      <w:r>
        <w:rPr>
          <w:rStyle w:val="28"/>
          <w:rFonts w:hint="eastAsia" w:ascii="宋体" w:hAnsi="宋体" w:eastAsia="宋体" w:cs="宋体"/>
          <w:kern w:val="0"/>
          <w:sz w:val="24"/>
          <w:szCs w:val="24"/>
          <w:highlight w:val="none"/>
          <w:lang w:val="en-US" w:eastAsia="zh-CN"/>
        </w:rPr>
        <w:t>含</w:t>
      </w:r>
      <w:r>
        <w:rPr>
          <w:rStyle w:val="28"/>
          <w:rFonts w:hint="eastAsia" w:ascii="宋体" w:eastAsia="宋体" w:cs="宋体"/>
          <w:kern w:val="0"/>
          <w:sz w:val="24"/>
          <w:szCs w:val="24"/>
          <w:highlight w:val="none"/>
          <w:lang w:val="en-US" w:eastAsia="zh-CN"/>
        </w:rPr>
        <w:t>）</w:t>
      </w:r>
      <w:r>
        <w:rPr>
          <w:rStyle w:val="28"/>
          <w:rFonts w:hint="eastAsia" w:ascii="宋体" w:hAnsi="宋体" w:eastAsia="宋体" w:cs="宋体"/>
          <w:kern w:val="0"/>
          <w:sz w:val="24"/>
          <w:szCs w:val="24"/>
          <w:highlight w:val="none"/>
          <w:lang w:val="en-US" w:eastAsia="zh-CN"/>
        </w:rPr>
        <w:t>以上（原厂质保期高于供应商承诺质保期的，按原厂质保期计算。自验收合格报告签字确认日起，开始进入质保期）。</w:t>
      </w:r>
    </w:p>
    <w:p w14:paraId="25E11C8B">
      <w:pPr>
        <w:keepNext w:val="0"/>
        <w:keepLines w:val="0"/>
        <w:pageBreakBefore w:val="0"/>
        <w:widowControl w:val="0"/>
        <w:kinsoku/>
        <w:wordWrap/>
        <w:overflowPunct/>
        <w:topLinePunct w:val="0"/>
        <w:autoSpaceDE/>
        <w:autoSpaceDN/>
        <w:bidi w:val="0"/>
        <w:adjustRightInd/>
        <w:snapToGrid/>
        <w:spacing w:line="370" w:lineRule="exact"/>
        <w:ind w:right="0" w:rightChars="0" w:firstLine="482" w:firstLineChars="200"/>
        <w:textAlignment w:val="auto"/>
        <w:rPr>
          <w:rStyle w:val="28"/>
          <w:rFonts w:hint="default" w:ascii="宋体" w:hAnsi="宋体" w:eastAsia="宋体" w:cs="宋体"/>
          <w:b/>
          <w:bCs/>
          <w:kern w:val="0"/>
          <w:sz w:val="24"/>
          <w:szCs w:val="24"/>
          <w:highlight w:val="none"/>
          <w:lang w:val="en-US" w:eastAsia="zh-CN"/>
        </w:rPr>
      </w:pPr>
      <w:r>
        <w:rPr>
          <w:rStyle w:val="28"/>
          <w:rFonts w:hint="eastAsia" w:ascii="宋体" w:hAnsi="宋体" w:eastAsia="宋体" w:cs="宋体"/>
          <w:b/>
          <w:bCs/>
          <w:kern w:val="0"/>
          <w:sz w:val="24"/>
          <w:szCs w:val="24"/>
          <w:highlight w:val="none"/>
          <w:lang w:val="en-US" w:eastAsia="zh-CN"/>
        </w:rPr>
        <w:t>三、约定事项</w:t>
      </w:r>
    </w:p>
    <w:p w14:paraId="2BF36291">
      <w:pPr>
        <w:keepNext w:val="0"/>
        <w:keepLines w:val="0"/>
        <w:pageBreakBefore w:val="0"/>
        <w:widowControl w:val="0"/>
        <w:kinsoku/>
        <w:wordWrap/>
        <w:overflowPunct/>
        <w:topLinePunct w:val="0"/>
        <w:autoSpaceDE/>
        <w:autoSpaceDN/>
        <w:bidi w:val="0"/>
        <w:adjustRightInd/>
        <w:snapToGrid/>
        <w:spacing w:line="370" w:lineRule="exact"/>
        <w:ind w:right="0" w:rightChars="0" w:firstLine="480" w:firstLineChars="200"/>
        <w:textAlignment w:val="auto"/>
        <w:rPr>
          <w:rFonts w:hint="eastAsia" w:ascii="宋体" w:hAnsi="宋体" w:eastAsia="宋体" w:cs="宋体"/>
          <w:color w:val="auto"/>
          <w:sz w:val="24"/>
          <w:szCs w:val="24"/>
          <w:highlight w:val="none"/>
        </w:rPr>
      </w:pPr>
      <w:r>
        <w:rPr>
          <w:rStyle w:val="28"/>
          <w:rFonts w:hint="eastAsia" w:ascii="宋体" w:hAnsi="宋体" w:eastAsia="宋体" w:cs="宋体"/>
          <w:kern w:val="0"/>
          <w:sz w:val="24"/>
          <w:szCs w:val="24"/>
          <w:highlight w:val="none"/>
          <w:lang w:val="en-US" w:eastAsia="zh-CN"/>
        </w:rPr>
        <w:t>1、</w:t>
      </w:r>
      <w:r>
        <w:rPr>
          <w:rStyle w:val="28"/>
          <w:rFonts w:hint="eastAsia" w:ascii="宋体" w:hAnsi="宋体" w:eastAsia="宋体" w:cs="宋体"/>
          <w:kern w:val="0"/>
          <w:sz w:val="24"/>
          <w:szCs w:val="24"/>
          <w:highlight w:val="none"/>
        </w:rPr>
        <w:t>参与报价的单位需将</w:t>
      </w:r>
      <w:r>
        <w:rPr>
          <w:rStyle w:val="28"/>
          <w:rFonts w:hint="eastAsia" w:ascii="宋体" w:hAnsi="宋体" w:eastAsia="宋体" w:cs="宋体"/>
          <w:kern w:val="0"/>
          <w:sz w:val="24"/>
          <w:szCs w:val="24"/>
          <w:highlight w:val="none"/>
          <w:lang w:val="en-US" w:eastAsia="zh-CN"/>
        </w:rPr>
        <w:t>有效的</w:t>
      </w:r>
      <w:r>
        <w:rPr>
          <w:rStyle w:val="28"/>
          <w:rFonts w:hint="eastAsia" w:ascii="宋体" w:hAnsi="宋体" w:eastAsia="宋体" w:cs="宋体"/>
          <w:kern w:val="0"/>
          <w:sz w:val="24"/>
          <w:szCs w:val="24"/>
          <w:highlight w:val="none"/>
        </w:rPr>
        <w:t>营业执照复印件</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市场询价</w:t>
      </w:r>
      <w:r>
        <w:rPr>
          <w:rStyle w:val="28"/>
          <w:rFonts w:hint="eastAsia" w:ascii="宋体" w:hAnsi="宋体" w:eastAsia="宋体" w:cs="宋体"/>
          <w:kern w:val="0"/>
          <w:sz w:val="24"/>
          <w:szCs w:val="24"/>
          <w:highlight w:val="none"/>
          <w:lang w:val="en-US" w:eastAsia="zh-CN"/>
        </w:rPr>
        <w:t>报价单等（详见第4条）</w:t>
      </w:r>
      <w:r>
        <w:rPr>
          <w:rStyle w:val="28"/>
          <w:rFonts w:hint="eastAsia" w:ascii="宋体" w:hAnsi="宋体" w:eastAsia="宋体" w:cs="宋体"/>
          <w:kern w:val="0"/>
          <w:sz w:val="24"/>
          <w:szCs w:val="24"/>
          <w:highlight w:val="none"/>
        </w:rPr>
        <w:t>于202</w:t>
      </w:r>
      <w:r>
        <w:rPr>
          <w:rStyle w:val="28"/>
          <w:rFonts w:hint="eastAsia" w:ascii="宋体" w:hAnsi="宋体" w:eastAsia="宋体" w:cs="宋体"/>
          <w:kern w:val="0"/>
          <w:sz w:val="24"/>
          <w:szCs w:val="24"/>
          <w:highlight w:val="none"/>
          <w:lang w:val="en-US" w:eastAsia="zh-CN"/>
        </w:rPr>
        <w:t>6</w:t>
      </w:r>
      <w:r>
        <w:rPr>
          <w:rStyle w:val="28"/>
          <w:rFonts w:hint="eastAsia" w:ascii="宋体" w:hAnsi="宋体" w:eastAsia="宋体" w:cs="宋体"/>
          <w:kern w:val="0"/>
          <w:sz w:val="24"/>
          <w:szCs w:val="24"/>
          <w:highlight w:val="none"/>
        </w:rPr>
        <w:t>年</w:t>
      </w:r>
      <w:bookmarkStart w:id="0" w:name="_GoBack"/>
      <w:r>
        <w:rPr>
          <w:rStyle w:val="28"/>
          <w:rFonts w:hint="eastAsia" w:ascii="宋体" w:hAnsi="宋体" w:eastAsia="宋体" w:cs="宋体"/>
          <w:kern w:val="0"/>
          <w:sz w:val="24"/>
          <w:szCs w:val="24"/>
          <w:highlight w:val="none"/>
          <w:lang w:val="en-US" w:eastAsia="zh-CN"/>
        </w:rPr>
        <w:t>3</w:t>
      </w:r>
      <w:r>
        <w:rPr>
          <w:rStyle w:val="28"/>
          <w:rFonts w:hint="eastAsia" w:ascii="宋体" w:hAnsi="宋体" w:eastAsia="宋体" w:cs="宋体"/>
          <w:kern w:val="0"/>
          <w:sz w:val="24"/>
          <w:szCs w:val="24"/>
          <w:highlight w:val="none"/>
        </w:rPr>
        <w:t>月</w:t>
      </w:r>
      <w:r>
        <w:rPr>
          <w:rStyle w:val="28"/>
          <w:rFonts w:hint="eastAsia" w:ascii="宋体" w:hAnsi="宋体" w:eastAsia="宋体" w:cs="宋体"/>
          <w:kern w:val="0"/>
          <w:sz w:val="24"/>
          <w:szCs w:val="24"/>
          <w:highlight w:val="none"/>
          <w:lang w:val="en-US" w:eastAsia="zh-CN"/>
        </w:rPr>
        <w:t>18</w:t>
      </w:r>
      <w:r>
        <w:rPr>
          <w:rStyle w:val="28"/>
          <w:rFonts w:hint="eastAsia" w:ascii="宋体" w:hAnsi="宋体" w:eastAsia="宋体" w:cs="宋体"/>
          <w:kern w:val="0"/>
          <w:sz w:val="24"/>
          <w:szCs w:val="24"/>
          <w:highlight w:val="none"/>
        </w:rPr>
        <w:t>日</w:t>
      </w:r>
      <w:r>
        <w:rPr>
          <w:rStyle w:val="28"/>
          <w:rFonts w:hint="eastAsia" w:ascii="宋体" w:hAnsi="宋体" w:eastAsia="宋体" w:cs="宋体"/>
          <w:kern w:val="0"/>
          <w:sz w:val="24"/>
          <w:szCs w:val="24"/>
          <w:highlight w:val="none"/>
        </w:rPr>
        <w:t>1</w:t>
      </w:r>
      <w:bookmarkEnd w:id="0"/>
      <w:r>
        <w:rPr>
          <w:rStyle w:val="28"/>
          <w:rFonts w:hint="eastAsia" w:ascii="宋体" w:hAnsi="宋体" w:eastAsia="宋体" w:cs="宋体"/>
          <w:kern w:val="0"/>
          <w:sz w:val="24"/>
          <w:szCs w:val="24"/>
          <w:highlight w:val="none"/>
        </w:rPr>
        <w:t>7:00前</w:t>
      </w:r>
      <w:r>
        <w:rPr>
          <w:rStyle w:val="28"/>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启东市汇龙镇万豪花园29幢别墅</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顾张瑜</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0513-83352336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lang w:val="en-US" w:eastAsia="zh-CN"/>
        </w:rPr>
        <w:t>fgyjszx</w:t>
      </w:r>
      <w:r>
        <w:rPr>
          <w:rFonts w:hint="eastAsia" w:ascii="宋体" w:hAnsi="宋体" w:eastAsia="宋体" w:cs="宋体"/>
          <w:color w:val="auto"/>
          <w:sz w:val="24"/>
          <w:szCs w:val="24"/>
          <w:highlight w:val="none"/>
          <w:u w:val="single"/>
          <w:lang w:val="en-US" w:eastAsia="zh-CN"/>
        </w:rPr>
        <w:t xml:space="preserve">@163.com </w:t>
      </w:r>
      <w:r>
        <w:rPr>
          <w:rFonts w:hint="eastAsia" w:ascii="宋体" w:hAnsi="宋体" w:eastAsia="宋体" w:cs="宋体"/>
          <w:color w:val="auto"/>
          <w:sz w:val="24"/>
          <w:szCs w:val="24"/>
          <w:highlight w:val="none"/>
        </w:rPr>
        <w:t>。</w:t>
      </w:r>
    </w:p>
    <w:p w14:paraId="5E26F5D0">
      <w:pPr>
        <w:keepNext w:val="0"/>
        <w:keepLines w:val="0"/>
        <w:pageBreakBefore w:val="0"/>
        <w:widowControl w:val="0"/>
        <w:kinsoku/>
        <w:wordWrap/>
        <w:overflowPunct/>
        <w:topLinePunct w:val="0"/>
        <w:autoSpaceDE/>
        <w:autoSpaceDN/>
        <w:bidi w:val="0"/>
        <w:adjustRightInd/>
        <w:snapToGrid/>
        <w:spacing w:line="37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lang w:val="en-US" w:eastAsia="zh-CN"/>
        </w:rPr>
        <w:t>2、</w:t>
      </w:r>
      <w:r>
        <w:rPr>
          <w:rStyle w:val="28"/>
          <w:rFonts w:hint="eastAsia" w:ascii="宋体" w:hAnsi="宋体" w:eastAsia="宋体" w:cs="宋体"/>
          <w:color w:val="auto"/>
          <w:kern w:val="0"/>
          <w:sz w:val="24"/>
          <w:szCs w:val="24"/>
          <w:highlight w:val="none"/>
        </w:rPr>
        <w:t>报价费用说明：</w:t>
      </w:r>
    </w:p>
    <w:p w14:paraId="2F99F19E">
      <w:pPr>
        <w:keepNext w:val="0"/>
        <w:keepLines w:val="0"/>
        <w:pageBreakBefore w:val="0"/>
        <w:widowControl w:val="0"/>
        <w:kinsoku/>
        <w:wordWrap/>
        <w:overflowPunct/>
        <w:topLinePunct w:val="0"/>
        <w:autoSpaceDE/>
        <w:autoSpaceDN/>
        <w:bidi w:val="0"/>
        <w:adjustRightInd/>
        <w:snapToGrid/>
        <w:spacing w:line="37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取固定单价报价。中标单价在合同签订后的三个月内不做调整，之后每三个月可申请调价一次（如双方在调价周期内未提出调价即视为放弃调价），三个月后，若材料价格上涨幅度在10%以内（含10%）的，其价差由中标人承担，即按中标单价供货；上涨幅度超过10%（不含10%）的，其超出10%部分的价差由采购人按相应比例调整【调价规则如下：以中标当月“我的钢铁网”（无锡）钢材月均价价格作为钢材基准价，如“我的钢铁网” 价格上涨超过10%的，采购人按照超出的比例予以调价】。</w:t>
      </w:r>
    </w:p>
    <w:p w14:paraId="7846FC17">
      <w:pPr>
        <w:keepNext w:val="0"/>
        <w:keepLines w:val="0"/>
        <w:pageBreakBefore w:val="0"/>
        <w:widowControl w:val="0"/>
        <w:kinsoku/>
        <w:wordWrap/>
        <w:overflowPunct/>
        <w:topLinePunct w:val="0"/>
        <w:autoSpaceDE/>
        <w:autoSpaceDN/>
        <w:bidi w:val="0"/>
        <w:adjustRightInd/>
        <w:snapToGrid/>
        <w:spacing w:line="37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例：中标当月“我的钢铁网”（无锡）原材料月均价100元/吨为基准价，本次上浮至115元/吨，即上浮15%，调价比例为5%。</w:t>
      </w:r>
    </w:p>
    <w:p w14:paraId="7A87E890">
      <w:pPr>
        <w:keepNext w:val="0"/>
        <w:keepLines w:val="0"/>
        <w:pageBreakBefore w:val="0"/>
        <w:widowControl w:val="0"/>
        <w:kinsoku/>
        <w:wordWrap/>
        <w:overflowPunct/>
        <w:topLinePunct w:val="0"/>
        <w:autoSpaceDE/>
        <w:autoSpaceDN/>
        <w:bidi w:val="0"/>
        <w:adjustRightInd/>
        <w:snapToGrid/>
        <w:spacing w:line="37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材料价格下浮亦按照上涨的规定执行；</w:t>
      </w:r>
    </w:p>
    <w:p w14:paraId="41F3A6FF">
      <w:pPr>
        <w:keepNext w:val="0"/>
        <w:keepLines w:val="0"/>
        <w:pageBreakBefore w:val="0"/>
        <w:widowControl w:val="0"/>
        <w:kinsoku/>
        <w:wordWrap/>
        <w:overflowPunct/>
        <w:topLinePunct w:val="0"/>
        <w:autoSpaceDE/>
        <w:autoSpaceDN/>
        <w:bidi w:val="0"/>
        <w:adjustRightInd/>
        <w:snapToGrid/>
        <w:spacing w:line="37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钢材价格依据为 “我的钢铁网”中“江苏无锡”与所供货物相同规格、品牌的材料现行价格，经招标人核实确认后作为钢材差价取定依据。</w:t>
      </w:r>
    </w:p>
    <w:p w14:paraId="785D6F44">
      <w:pPr>
        <w:keepNext w:val="0"/>
        <w:keepLines w:val="0"/>
        <w:pageBreakBefore w:val="0"/>
        <w:widowControl w:val="0"/>
        <w:kinsoku/>
        <w:wordWrap/>
        <w:overflowPunct/>
        <w:topLinePunct w:val="0"/>
        <w:autoSpaceDE/>
        <w:autoSpaceDN/>
        <w:bidi w:val="0"/>
        <w:adjustRightInd/>
        <w:snapToGrid/>
        <w:spacing w:line="370" w:lineRule="exact"/>
        <w:ind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本项目采取固定单价报价，此报价包括货物的制作、运输（含上下人力费）、材料检测费、保险、装卸、配件、13%税金、现场安装技术指导、售后服务等所有费用，和政策性文件规定及合同包含的所有风险、责任等各项应有费用，即招标物交付使用前的所有费用以及免保期内的服务费用。本项目采购量为预估用量，会多批次少量进货，请各报价单位在报价时充分考虑各种因素（如税金、运输等各种费用），合同期内中标单价不作调整。</w:t>
      </w:r>
    </w:p>
    <w:p w14:paraId="530588CC">
      <w:pPr>
        <w:keepNext w:val="0"/>
        <w:keepLines w:val="0"/>
        <w:pageBreakBefore w:val="0"/>
        <w:widowControl w:val="0"/>
        <w:kinsoku/>
        <w:wordWrap/>
        <w:overflowPunct/>
        <w:topLinePunct w:val="0"/>
        <w:autoSpaceDE/>
        <w:autoSpaceDN/>
        <w:bidi w:val="0"/>
        <w:adjustRightInd/>
        <w:snapToGrid/>
        <w:spacing w:line="370" w:lineRule="exact"/>
        <w:ind w:right="0" w:rightChars="0" w:firstLine="482" w:firstLineChars="200"/>
        <w:textAlignment w:val="auto"/>
        <w:rPr>
          <w:rFonts w:hint="eastAsia" w:ascii="宋体" w:hAnsi="宋体" w:eastAsia="宋体" w:cs="宋体"/>
          <w:b/>
          <w:bCs/>
          <w:sz w:val="24"/>
          <w:szCs w:val="24"/>
          <w:highlight w:val="none"/>
          <w:lang w:eastAsia="zh-CN"/>
        </w:rPr>
      </w:pPr>
      <w:r>
        <w:rPr>
          <w:rStyle w:val="28"/>
          <w:rFonts w:hint="eastAsia" w:ascii="宋体" w:hAnsi="宋体" w:eastAsia="宋体" w:cs="宋体"/>
          <w:b/>
          <w:bCs/>
          <w:kern w:val="0"/>
          <w:sz w:val="24"/>
          <w:szCs w:val="24"/>
          <w:highlight w:val="none"/>
          <w:lang w:val="en-US" w:eastAsia="zh-CN"/>
        </w:rPr>
        <w:t>4、</w:t>
      </w:r>
      <w:r>
        <w:rPr>
          <w:rFonts w:hint="eastAsia" w:ascii="宋体" w:hAnsi="宋体" w:eastAsia="宋体" w:cs="宋体"/>
          <w:b/>
          <w:bCs/>
          <w:sz w:val="24"/>
          <w:szCs w:val="24"/>
          <w:highlight w:val="none"/>
        </w:rPr>
        <w:t>报价单位须提供</w:t>
      </w:r>
      <w:r>
        <w:rPr>
          <w:rFonts w:hint="eastAsia" w:ascii="宋体" w:hAnsi="宋体" w:eastAsia="宋体" w:cs="宋体"/>
          <w:b/>
          <w:bCs/>
          <w:sz w:val="24"/>
          <w:szCs w:val="24"/>
          <w:highlight w:val="none"/>
          <w:lang w:eastAsia="zh-CN"/>
        </w:rPr>
        <w:t>：</w:t>
      </w:r>
    </w:p>
    <w:p w14:paraId="7BF74B24">
      <w:pPr>
        <w:keepNext w:val="0"/>
        <w:keepLines w:val="0"/>
        <w:pageBreakBefore w:val="0"/>
        <w:widowControl w:val="0"/>
        <w:kinsoku/>
        <w:wordWrap/>
        <w:overflowPunct/>
        <w:topLinePunct w:val="0"/>
        <w:autoSpaceDE/>
        <w:autoSpaceDN/>
        <w:bidi w:val="0"/>
        <w:adjustRightInd/>
        <w:snapToGrid/>
        <w:spacing w:line="37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（1）有效的营业执照复印件（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7997DE9F">
      <w:pPr>
        <w:keepNext w:val="0"/>
        <w:keepLines w:val="0"/>
        <w:pageBreakBefore w:val="0"/>
        <w:widowControl w:val="0"/>
        <w:kinsoku/>
        <w:wordWrap/>
        <w:overflowPunct/>
        <w:topLinePunct w:val="0"/>
        <w:autoSpaceDE/>
        <w:autoSpaceDN/>
        <w:bidi w:val="0"/>
        <w:adjustRightInd/>
        <w:snapToGrid/>
        <w:spacing w:line="37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（2）未被“信用中国”“中国政府采购网”“信用江苏”网站列入失信被执行人、重大税收违法案件当事人名单、政府采购严重违法失信行为记录名单（提供网页截图</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1EF3B8F4">
      <w:pPr>
        <w:keepNext w:val="0"/>
        <w:keepLines w:val="0"/>
        <w:pageBreakBefore w:val="0"/>
        <w:widowControl w:val="0"/>
        <w:kinsoku/>
        <w:wordWrap/>
        <w:overflowPunct/>
        <w:topLinePunct w:val="0"/>
        <w:autoSpaceDE/>
        <w:autoSpaceDN/>
        <w:bidi w:val="0"/>
        <w:adjustRightInd/>
        <w:snapToGrid/>
        <w:spacing w:line="37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（3）提供的投标产品有2024年以来质量监督检测中心出具的检验报告复印件（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6A7F1303">
      <w:pPr>
        <w:keepNext w:val="0"/>
        <w:keepLines w:val="0"/>
        <w:pageBreakBefore w:val="0"/>
        <w:widowControl w:val="0"/>
        <w:kinsoku/>
        <w:wordWrap/>
        <w:overflowPunct/>
        <w:topLinePunct w:val="0"/>
        <w:autoSpaceDE/>
        <w:autoSpaceDN/>
        <w:bidi w:val="0"/>
        <w:adjustRightInd/>
        <w:snapToGrid/>
        <w:spacing w:line="37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（4）应提供有效期内的有关卫生行政部门颁发的涉及饮用水卫生安全产品卫生许可证批件或具有省级及以上卫生检疫机构出具的证明其产品通过</w:t>
      </w:r>
      <w:r>
        <w:rPr>
          <w:rFonts w:hint="eastAsia" w:ascii="宋体" w:hAnsi="宋体" w:eastAsia="宋体" w:cs="宋体"/>
          <w:b/>
          <w:bCs w:val="0"/>
          <w:kern w:val="0"/>
          <w:sz w:val="24"/>
          <w:szCs w:val="24"/>
          <w:highlight w:val="none"/>
          <w:lang w:val="en-US" w:eastAsia="zh-CN" w:bidi="ar"/>
        </w:rPr>
        <w:t>《生活饮用水输配水设备及防护材料卫生安全评价规范》(2001)</w:t>
      </w:r>
      <w:r>
        <w:rPr>
          <w:rFonts w:hint="eastAsia" w:ascii="宋体" w:hAnsi="宋体" w:eastAsia="宋体" w:cs="宋体"/>
          <w:b/>
          <w:bCs/>
          <w:sz w:val="24"/>
          <w:szCs w:val="24"/>
          <w:highlight w:val="none"/>
          <w:lang w:val="en-US" w:eastAsia="zh-CN"/>
        </w:rPr>
        <w:t>的检验报告复印件（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0751EC30">
      <w:pPr>
        <w:keepNext w:val="0"/>
        <w:keepLines w:val="0"/>
        <w:pageBreakBefore w:val="0"/>
        <w:widowControl w:val="0"/>
        <w:kinsoku/>
        <w:wordWrap/>
        <w:overflowPunct/>
        <w:topLinePunct w:val="0"/>
        <w:autoSpaceDE/>
        <w:autoSpaceDN/>
        <w:bidi w:val="0"/>
        <w:adjustRightInd/>
        <w:snapToGrid/>
        <w:spacing w:line="37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（5）具有省级质量监督局颁发的《中华人民共和国特种设备生产（或制造）许可证》压力管道管子B级证书（不锈钢焊接钢管）及压力管道管件（有缝管件）B2级证书复印件（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350BF842">
      <w:pPr>
        <w:keepNext w:val="0"/>
        <w:keepLines w:val="0"/>
        <w:pageBreakBefore w:val="0"/>
        <w:widowControl w:val="0"/>
        <w:kinsoku/>
        <w:wordWrap/>
        <w:overflowPunct/>
        <w:topLinePunct w:val="0"/>
        <w:autoSpaceDE/>
        <w:autoSpaceDN/>
        <w:bidi w:val="0"/>
        <w:adjustRightInd/>
        <w:snapToGrid/>
        <w:spacing w:line="37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市场询价报价单（格式详见附件）。</w:t>
      </w:r>
    </w:p>
    <w:p w14:paraId="2278FB80">
      <w:pPr>
        <w:keepNext w:val="0"/>
        <w:keepLines w:val="0"/>
        <w:pageBreakBefore w:val="0"/>
        <w:widowControl w:val="0"/>
        <w:kinsoku/>
        <w:wordWrap/>
        <w:overflowPunct/>
        <w:topLinePunct w:val="0"/>
        <w:autoSpaceDE/>
        <w:autoSpaceDN/>
        <w:bidi w:val="0"/>
        <w:adjustRightInd w:val="0"/>
        <w:snapToGrid w:val="0"/>
        <w:spacing w:line="370" w:lineRule="exact"/>
        <w:ind w:firstLine="480" w:firstLineChars="200"/>
        <w:textAlignment w:val="auto"/>
        <w:rPr>
          <w:rStyle w:val="28"/>
          <w:rFonts w:hint="eastAsia"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5、</w:t>
      </w:r>
      <w:r>
        <w:rPr>
          <w:rStyle w:val="28"/>
          <w:rFonts w:hint="eastAsia" w:ascii="宋体" w:hAnsi="宋体" w:eastAsia="宋体" w:cs="宋体"/>
          <w:kern w:val="0"/>
          <w:sz w:val="24"/>
          <w:szCs w:val="24"/>
          <w:highlight w:val="none"/>
        </w:rPr>
        <w:t>拟定支付方式及期限：</w:t>
      </w:r>
      <w:r>
        <w:rPr>
          <w:rStyle w:val="28"/>
          <w:rFonts w:hint="eastAsia" w:ascii="宋体" w:hAnsi="宋体" w:eastAsia="宋体" w:cs="宋体"/>
          <w:kern w:val="0"/>
          <w:sz w:val="24"/>
          <w:szCs w:val="24"/>
          <w:highlight w:val="none"/>
          <w:lang w:val="en-US" w:eastAsia="zh-CN"/>
        </w:rPr>
        <w:t>本次采购量为预估量，最终结算按每次实际采购量计，每次供货完毕并经验收合格后，收到供货方相应的增值税专用发票后30天内支付该批年后，经采购单订单的90%货款，剩余10%的货款于合同期结束满5年后，经采购单位认可后一次性结清。若供货方未开具发票，采购方有权拒付相应款项，并不承担相应的逾期付款的违约责任。</w:t>
      </w:r>
    </w:p>
    <w:p w14:paraId="31B3769E">
      <w:pPr>
        <w:keepNext w:val="0"/>
        <w:keepLines w:val="0"/>
        <w:pageBreakBefore w:val="0"/>
        <w:widowControl w:val="0"/>
        <w:kinsoku/>
        <w:wordWrap/>
        <w:overflowPunct/>
        <w:topLinePunct w:val="0"/>
        <w:autoSpaceDE/>
        <w:autoSpaceDN/>
        <w:bidi w:val="0"/>
        <w:adjustRightInd w:val="0"/>
        <w:snapToGrid w:val="0"/>
        <w:spacing w:line="370" w:lineRule="exact"/>
        <w:ind w:firstLine="480" w:firstLineChars="200"/>
        <w:textAlignment w:val="auto"/>
        <w:rPr>
          <w:rStyle w:val="28"/>
          <w:rFonts w:hint="eastAsia"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注:供货方申请付款的程序应符合采购方的财务规定。</w:t>
      </w:r>
    </w:p>
    <w:p w14:paraId="40EAAC75">
      <w:pPr>
        <w:keepNext w:val="0"/>
        <w:keepLines w:val="0"/>
        <w:pageBreakBefore w:val="0"/>
        <w:widowControl w:val="0"/>
        <w:kinsoku/>
        <w:wordWrap/>
        <w:overflowPunct/>
        <w:topLinePunct w:val="0"/>
        <w:autoSpaceDE/>
        <w:autoSpaceDN/>
        <w:bidi w:val="0"/>
        <w:adjustRightInd/>
        <w:snapToGrid/>
        <w:spacing w:line="37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bidi="ar-SA"/>
        </w:rPr>
      </w:pPr>
      <w:r>
        <w:rPr>
          <w:rStyle w:val="28"/>
          <w:rFonts w:hint="eastAsia" w:ascii="宋体" w:hAnsi="宋体" w:eastAsia="宋体" w:cs="宋体"/>
          <w:kern w:val="0"/>
          <w:sz w:val="24"/>
          <w:szCs w:val="24"/>
          <w:highlight w:val="none"/>
          <w:lang w:val="en-US" w:eastAsia="zh-CN"/>
        </w:rPr>
        <w:t>6、</w:t>
      </w:r>
      <w:r>
        <w:rPr>
          <w:rStyle w:val="28"/>
          <w:rFonts w:hint="eastAsia" w:ascii="宋体" w:hAnsi="宋体" w:eastAsia="宋体" w:cs="宋体"/>
          <w:kern w:val="0"/>
          <w:sz w:val="24"/>
          <w:szCs w:val="24"/>
          <w:highlight w:val="none"/>
        </w:rPr>
        <w:t>其他：</w:t>
      </w:r>
      <w:r>
        <w:rPr>
          <w:rStyle w:val="28"/>
          <w:rFonts w:hint="eastAsia" w:ascii="宋体" w:hAnsi="宋体" w:eastAsia="宋体" w:cs="宋体"/>
          <w:kern w:val="0"/>
          <w:sz w:val="24"/>
          <w:szCs w:val="24"/>
          <w:highlight w:val="none"/>
          <w:lang w:val="en-US" w:eastAsia="zh-CN"/>
        </w:rPr>
        <w:t>1、</w:t>
      </w:r>
      <w:r>
        <w:rPr>
          <w:rStyle w:val="28"/>
          <w:rFonts w:hint="eastAsia" w:ascii="宋体" w:hAnsi="宋体" w:eastAsia="宋体" w:cs="宋体"/>
          <w:kern w:val="0"/>
          <w:sz w:val="24"/>
          <w:szCs w:val="24"/>
          <w:highlight w:val="none"/>
        </w:rPr>
        <w:t>请报价单位认真核算、如实报价，如发现虚假报价的，该单位今后将</w:t>
      </w:r>
      <w:r>
        <w:rPr>
          <w:rStyle w:val="28"/>
          <w:rFonts w:hint="eastAsia" w:ascii="宋体" w:hAnsi="宋体" w:eastAsia="宋体" w:cs="宋体"/>
          <w:kern w:val="0"/>
          <w:sz w:val="24"/>
          <w:szCs w:val="24"/>
          <w:highlight w:val="none"/>
          <w:lang w:val="en-US" w:eastAsia="zh-CN"/>
        </w:rPr>
        <w:t>记入</w:t>
      </w:r>
      <w:r>
        <w:rPr>
          <w:rStyle w:val="28"/>
          <w:rFonts w:hint="eastAsia" w:ascii="宋体" w:hAnsi="宋体" w:eastAsia="宋体" w:cs="宋体"/>
          <w:kern w:val="0"/>
          <w:sz w:val="24"/>
          <w:szCs w:val="24"/>
          <w:highlight w:val="none"/>
        </w:rPr>
        <w:t>采购</w:t>
      </w:r>
      <w:r>
        <w:rPr>
          <w:rStyle w:val="28"/>
          <w:rFonts w:hint="eastAsia" w:ascii="宋体" w:hAnsi="宋体" w:eastAsia="宋体" w:cs="宋体"/>
          <w:kern w:val="0"/>
          <w:sz w:val="24"/>
          <w:szCs w:val="24"/>
          <w:highlight w:val="none"/>
          <w:lang w:val="en-US" w:eastAsia="zh-CN"/>
        </w:rPr>
        <w:t>人招标市场的黑名单</w:t>
      </w:r>
      <w:r>
        <w:rPr>
          <w:rStyle w:val="28"/>
          <w:rFonts w:hint="eastAsia" w:ascii="宋体" w:hAnsi="宋体" w:eastAsia="宋体" w:cs="宋体"/>
          <w:kern w:val="0"/>
          <w:sz w:val="24"/>
          <w:szCs w:val="24"/>
          <w:highlight w:val="none"/>
        </w:rPr>
        <w:t>；</w:t>
      </w:r>
      <w:r>
        <w:rPr>
          <w:rStyle w:val="28"/>
          <w:rFonts w:hint="eastAsia" w:ascii="宋体" w:hAnsi="宋体" w:eastAsia="宋体" w:cs="宋体"/>
          <w:kern w:val="0"/>
          <w:sz w:val="24"/>
          <w:szCs w:val="24"/>
          <w:highlight w:val="none"/>
          <w:lang w:val="en-US" w:eastAsia="zh-CN"/>
        </w:rPr>
        <w:t>2、</w:t>
      </w:r>
      <w:r>
        <w:rPr>
          <w:rStyle w:val="28"/>
          <w:rFonts w:hint="eastAsia" w:ascii="宋体" w:hAnsi="宋体" w:eastAsia="宋体" w:cs="宋体"/>
          <w:kern w:val="0"/>
          <w:sz w:val="24"/>
          <w:szCs w:val="24"/>
          <w:highlight w:val="none"/>
        </w:rPr>
        <w:t>本次报价仅作为市场调研用，因此价格仅供参考；</w:t>
      </w:r>
      <w:r>
        <w:rPr>
          <w:rStyle w:val="28"/>
          <w:rFonts w:hint="eastAsia" w:ascii="宋体" w:hAnsi="宋体" w:eastAsia="宋体" w:cs="宋体"/>
          <w:kern w:val="0"/>
          <w:sz w:val="24"/>
          <w:szCs w:val="24"/>
          <w:highlight w:val="none"/>
          <w:lang w:val="en-US" w:eastAsia="zh-CN"/>
        </w:rPr>
        <w:t>3、</w:t>
      </w:r>
      <w:r>
        <w:rPr>
          <w:rStyle w:val="28"/>
          <w:rFonts w:hint="eastAsia" w:ascii="宋体" w:hAnsi="宋体" w:eastAsia="宋体" w:cs="宋体"/>
          <w:kern w:val="0"/>
          <w:sz w:val="24"/>
          <w:szCs w:val="24"/>
          <w:highlight w:val="none"/>
        </w:rPr>
        <w:t>本次调研询价不接收质疑函，只接收对本项目的建议。</w:t>
      </w:r>
    </w:p>
    <w:p w14:paraId="586EF4E5">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10B6DC4A">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Fonts w:hint="default" w:ascii="宋体" w:hAnsi="宋体" w:eastAsia="宋体" w:cs="宋体"/>
          <w:b/>
          <w:color w:val="auto"/>
          <w:kern w:val="0"/>
          <w:sz w:val="28"/>
          <w:szCs w:val="28"/>
          <w:highlight w:val="yellow"/>
          <w:lang w:val="en-US" w:eastAsia="zh-CN"/>
        </w:rPr>
      </w:pPr>
      <w:r>
        <w:rPr>
          <w:rStyle w:val="28"/>
          <w:rFonts w:hint="eastAsia" w:ascii="宋体" w:hAnsi="宋体" w:eastAsia="宋体" w:cs="宋体"/>
          <w:kern w:val="0"/>
          <w:sz w:val="24"/>
          <w:szCs w:val="24"/>
          <w:highlight w:val="none"/>
          <w:lang w:val="en-US" w:eastAsia="zh-CN" w:bidi="ar-SA"/>
        </w:rPr>
        <w:t>2026年3月12日</w:t>
      </w: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755BAF"/>
    <w:rsid w:val="00A237DF"/>
    <w:rsid w:val="00C51756"/>
    <w:rsid w:val="00CA31DF"/>
    <w:rsid w:val="01203FAE"/>
    <w:rsid w:val="013A07FE"/>
    <w:rsid w:val="01536131"/>
    <w:rsid w:val="01AA7D1B"/>
    <w:rsid w:val="01F571E8"/>
    <w:rsid w:val="02004145"/>
    <w:rsid w:val="0215722A"/>
    <w:rsid w:val="022A49B8"/>
    <w:rsid w:val="02783976"/>
    <w:rsid w:val="02ED1C6E"/>
    <w:rsid w:val="03174F3D"/>
    <w:rsid w:val="03237D85"/>
    <w:rsid w:val="038A4090"/>
    <w:rsid w:val="03EC63FF"/>
    <w:rsid w:val="04167BE0"/>
    <w:rsid w:val="041C0406"/>
    <w:rsid w:val="049774B8"/>
    <w:rsid w:val="04A647CA"/>
    <w:rsid w:val="04D70E27"/>
    <w:rsid w:val="04FE1868"/>
    <w:rsid w:val="053E4A03"/>
    <w:rsid w:val="05470A00"/>
    <w:rsid w:val="055210FB"/>
    <w:rsid w:val="05CD5D86"/>
    <w:rsid w:val="060F014D"/>
    <w:rsid w:val="064D5921"/>
    <w:rsid w:val="066F6FA2"/>
    <w:rsid w:val="06C9698C"/>
    <w:rsid w:val="06DE411B"/>
    <w:rsid w:val="081F710D"/>
    <w:rsid w:val="08714805"/>
    <w:rsid w:val="08767CBA"/>
    <w:rsid w:val="08FA6E92"/>
    <w:rsid w:val="094445B2"/>
    <w:rsid w:val="0978425B"/>
    <w:rsid w:val="09813405"/>
    <w:rsid w:val="09CE1802"/>
    <w:rsid w:val="0ADA1283"/>
    <w:rsid w:val="0B837613"/>
    <w:rsid w:val="0B866991"/>
    <w:rsid w:val="0BD51E39"/>
    <w:rsid w:val="0BE635A6"/>
    <w:rsid w:val="0C807FF6"/>
    <w:rsid w:val="0D18108F"/>
    <w:rsid w:val="0D9A7247"/>
    <w:rsid w:val="0E377BE4"/>
    <w:rsid w:val="0EE36B7D"/>
    <w:rsid w:val="0F0243F5"/>
    <w:rsid w:val="0FBC1346"/>
    <w:rsid w:val="10545A22"/>
    <w:rsid w:val="108154AD"/>
    <w:rsid w:val="10D80401"/>
    <w:rsid w:val="11074842"/>
    <w:rsid w:val="1158509E"/>
    <w:rsid w:val="11627CCB"/>
    <w:rsid w:val="117F262B"/>
    <w:rsid w:val="119C142F"/>
    <w:rsid w:val="123553DF"/>
    <w:rsid w:val="12C84105"/>
    <w:rsid w:val="12F62DC0"/>
    <w:rsid w:val="13035AF1"/>
    <w:rsid w:val="13121E77"/>
    <w:rsid w:val="131274CE"/>
    <w:rsid w:val="13455F77"/>
    <w:rsid w:val="136C3083"/>
    <w:rsid w:val="145D29CB"/>
    <w:rsid w:val="14C14ACF"/>
    <w:rsid w:val="14D24991"/>
    <w:rsid w:val="14F72E20"/>
    <w:rsid w:val="15B72A35"/>
    <w:rsid w:val="15C50828"/>
    <w:rsid w:val="17BB0135"/>
    <w:rsid w:val="18DA6CE0"/>
    <w:rsid w:val="18EB2C9C"/>
    <w:rsid w:val="19267830"/>
    <w:rsid w:val="19DD51E5"/>
    <w:rsid w:val="1AED5BB7"/>
    <w:rsid w:val="1AFA0F74"/>
    <w:rsid w:val="1B0210CF"/>
    <w:rsid w:val="1B3E3557"/>
    <w:rsid w:val="1B542D7A"/>
    <w:rsid w:val="1B932687"/>
    <w:rsid w:val="1BCA6B98"/>
    <w:rsid w:val="1C1D5257"/>
    <w:rsid w:val="1C4F709D"/>
    <w:rsid w:val="1CAC06B2"/>
    <w:rsid w:val="1DF223D6"/>
    <w:rsid w:val="1E3B3D7D"/>
    <w:rsid w:val="1E652BA8"/>
    <w:rsid w:val="1E6C03DB"/>
    <w:rsid w:val="1E8B21FB"/>
    <w:rsid w:val="1F642E60"/>
    <w:rsid w:val="1F707A57"/>
    <w:rsid w:val="1F7312F5"/>
    <w:rsid w:val="1FD71884"/>
    <w:rsid w:val="1FF22FB9"/>
    <w:rsid w:val="20725642"/>
    <w:rsid w:val="20B761AC"/>
    <w:rsid w:val="219F63D1"/>
    <w:rsid w:val="221E19EC"/>
    <w:rsid w:val="2262713B"/>
    <w:rsid w:val="228D26CE"/>
    <w:rsid w:val="22FB3ADB"/>
    <w:rsid w:val="23A777BF"/>
    <w:rsid w:val="23D5257E"/>
    <w:rsid w:val="240E2A35"/>
    <w:rsid w:val="24194B61"/>
    <w:rsid w:val="25E66CC5"/>
    <w:rsid w:val="25FB4BE7"/>
    <w:rsid w:val="26411BCD"/>
    <w:rsid w:val="266A16A4"/>
    <w:rsid w:val="270B5BBD"/>
    <w:rsid w:val="277B51EB"/>
    <w:rsid w:val="281423EE"/>
    <w:rsid w:val="2940272E"/>
    <w:rsid w:val="2940493E"/>
    <w:rsid w:val="29802F8C"/>
    <w:rsid w:val="2A5C1303"/>
    <w:rsid w:val="2A924D25"/>
    <w:rsid w:val="2B54029B"/>
    <w:rsid w:val="2CC66F08"/>
    <w:rsid w:val="2CEF3FB8"/>
    <w:rsid w:val="2D240A4D"/>
    <w:rsid w:val="2D7E3C87"/>
    <w:rsid w:val="2E52196D"/>
    <w:rsid w:val="2ED5212C"/>
    <w:rsid w:val="2ED81174"/>
    <w:rsid w:val="2F566C69"/>
    <w:rsid w:val="2FB90FA6"/>
    <w:rsid w:val="300761B5"/>
    <w:rsid w:val="308710A4"/>
    <w:rsid w:val="30C90D87"/>
    <w:rsid w:val="30F33128"/>
    <w:rsid w:val="312C5B19"/>
    <w:rsid w:val="31AD4B3A"/>
    <w:rsid w:val="322A22B1"/>
    <w:rsid w:val="32633E5B"/>
    <w:rsid w:val="32AD0A52"/>
    <w:rsid w:val="32EE540A"/>
    <w:rsid w:val="334020DA"/>
    <w:rsid w:val="342D4B90"/>
    <w:rsid w:val="34321327"/>
    <w:rsid w:val="34C000EE"/>
    <w:rsid w:val="35DF103A"/>
    <w:rsid w:val="36C56482"/>
    <w:rsid w:val="36F07953"/>
    <w:rsid w:val="36FD79CA"/>
    <w:rsid w:val="3701395E"/>
    <w:rsid w:val="37301340"/>
    <w:rsid w:val="37490E61"/>
    <w:rsid w:val="37C625ED"/>
    <w:rsid w:val="37D42E21"/>
    <w:rsid w:val="37F54B45"/>
    <w:rsid w:val="380B25BB"/>
    <w:rsid w:val="3862667F"/>
    <w:rsid w:val="3885236D"/>
    <w:rsid w:val="38AC78FA"/>
    <w:rsid w:val="391E3890"/>
    <w:rsid w:val="3AD80D94"/>
    <w:rsid w:val="3AF066C3"/>
    <w:rsid w:val="3B314F27"/>
    <w:rsid w:val="3B5B5607"/>
    <w:rsid w:val="3BEA51F5"/>
    <w:rsid w:val="3C6A6406"/>
    <w:rsid w:val="3CF7310E"/>
    <w:rsid w:val="3D2C0ADF"/>
    <w:rsid w:val="3E1E176E"/>
    <w:rsid w:val="3E202F15"/>
    <w:rsid w:val="3E9078C4"/>
    <w:rsid w:val="3EF773F5"/>
    <w:rsid w:val="3F604F9A"/>
    <w:rsid w:val="3FF12096"/>
    <w:rsid w:val="404B6C28"/>
    <w:rsid w:val="405A40DF"/>
    <w:rsid w:val="41F540C0"/>
    <w:rsid w:val="420951A2"/>
    <w:rsid w:val="424A7A77"/>
    <w:rsid w:val="42815953"/>
    <w:rsid w:val="42875CFB"/>
    <w:rsid w:val="42C92294"/>
    <w:rsid w:val="43132246"/>
    <w:rsid w:val="435C1F1C"/>
    <w:rsid w:val="440E1469"/>
    <w:rsid w:val="445175A7"/>
    <w:rsid w:val="44657B81"/>
    <w:rsid w:val="4496320C"/>
    <w:rsid w:val="457C0654"/>
    <w:rsid w:val="45AC718B"/>
    <w:rsid w:val="45FA78C3"/>
    <w:rsid w:val="473D564F"/>
    <w:rsid w:val="47675677"/>
    <w:rsid w:val="47F72214"/>
    <w:rsid w:val="484A67E7"/>
    <w:rsid w:val="485B3227"/>
    <w:rsid w:val="48F53072"/>
    <w:rsid w:val="4916491B"/>
    <w:rsid w:val="492B03C7"/>
    <w:rsid w:val="494621F7"/>
    <w:rsid w:val="4B5F25AA"/>
    <w:rsid w:val="4C3F0C75"/>
    <w:rsid w:val="4C7F348C"/>
    <w:rsid w:val="4CD314A1"/>
    <w:rsid w:val="4D6B792C"/>
    <w:rsid w:val="4E9B1B4B"/>
    <w:rsid w:val="4EA07161"/>
    <w:rsid w:val="4F25246D"/>
    <w:rsid w:val="4F2F2FD0"/>
    <w:rsid w:val="4FCA0126"/>
    <w:rsid w:val="4FD01CC8"/>
    <w:rsid w:val="4FDC68BF"/>
    <w:rsid w:val="50DD4805"/>
    <w:rsid w:val="50EA7F43"/>
    <w:rsid w:val="50F06B23"/>
    <w:rsid w:val="512822A5"/>
    <w:rsid w:val="513973A6"/>
    <w:rsid w:val="51CB0999"/>
    <w:rsid w:val="522B6958"/>
    <w:rsid w:val="52304CA0"/>
    <w:rsid w:val="52E464FE"/>
    <w:rsid w:val="542645AC"/>
    <w:rsid w:val="54F36E09"/>
    <w:rsid w:val="55621614"/>
    <w:rsid w:val="558275C0"/>
    <w:rsid w:val="558820D0"/>
    <w:rsid w:val="55991722"/>
    <w:rsid w:val="55D371F6"/>
    <w:rsid w:val="55E71B19"/>
    <w:rsid w:val="566B65C5"/>
    <w:rsid w:val="57346FE0"/>
    <w:rsid w:val="57CC0FC7"/>
    <w:rsid w:val="57E254BF"/>
    <w:rsid w:val="57F83763"/>
    <w:rsid w:val="588418A2"/>
    <w:rsid w:val="59DB49CF"/>
    <w:rsid w:val="59EC3BA2"/>
    <w:rsid w:val="5A161A30"/>
    <w:rsid w:val="5A3B2D3C"/>
    <w:rsid w:val="5A683FFF"/>
    <w:rsid w:val="5A6C32DD"/>
    <w:rsid w:val="5A880124"/>
    <w:rsid w:val="5AA769EB"/>
    <w:rsid w:val="5B0B0058"/>
    <w:rsid w:val="5B303F63"/>
    <w:rsid w:val="5BFE2505"/>
    <w:rsid w:val="5C163158"/>
    <w:rsid w:val="5C3C5495"/>
    <w:rsid w:val="5C664E8E"/>
    <w:rsid w:val="5C877BB2"/>
    <w:rsid w:val="5DBF29C4"/>
    <w:rsid w:val="5EEC63F2"/>
    <w:rsid w:val="5F5E0F4F"/>
    <w:rsid w:val="603E1CE2"/>
    <w:rsid w:val="60545FFD"/>
    <w:rsid w:val="60803296"/>
    <w:rsid w:val="60D31618"/>
    <w:rsid w:val="60DB227B"/>
    <w:rsid w:val="60DF1D6B"/>
    <w:rsid w:val="61430B52"/>
    <w:rsid w:val="627D7A8D"/>
    <w:rsid w:val="62D85246"/>
    <w:rsid w:val="631F5A7F"/>
    <w:rsid w:val="65EB2F60"/>
    <w:rsid w:val="662752EF"/>
    <w:rsid w:val="66D47E98"/>
    <w:rsid w:val="66DD5F97"/>
    <w:rsid w:val="679A4C3E"/>
    <w:rsid w:val="68BA0755"/>
    <w:rsid w:val="68BE670A"/>
    <w:rsid w:val="68C161FA"/>
    <w:rsid w:val="68E65C61"/>
    <w:rsid w:val="68F0088D"/>
    <w:rsid w:val="693F2885"/>
    <w:rsid w:val="69782D5D"/>
    <w:rsid w:val="69D01A3D"/>
    <w:rsid w:val="6A06480C"/>
    <w:rsid w:val="6A927E4E"/>
    <w:rsid w:val="6A955B90"/>
    <w:rsid w:val="6AA33E09"/>
    <w:rsid w:val="6AD549D1"/>
    <w:rsid w:val="6B342BA7"/>
    <w:rsid w:val="6BA53BB1"/>
    <w:rsid w:val="6C2E004A"/>
    <w:rsid w:val="6C53185F"/>
    <w:rsid w:val="6CF54EC6"/>
    <w:rsid w:val="6D4D62AE"/>
    <w:rsid w:val="6D655CEE"/>
    <w:rsid w:val="6D983C19"/>
    <w:rsid w:val="6D9F0708"/>
    <w:rsid w:val="6E843F52"/>
    <w:rsid w:val="6EA42846"/>
    <w:rsid w:val="6F8F0EBD"/>
    <w:rsid w:val="6FB438A3"/>
    <w:rsid w:val="701D01BA"/>
    <w:rsid w:val="701F75C9"/>
    <w:rsid w:val="703F45D4"/>
    <w:rsid w:val="708B5A6B"/>
    <w:rsid w:val="708F5A33"/>
    <w:rsid w:val="70BC5C25"/>
    <w:rsid w:val="71072C9F"/>
    <w:rsid w:val="71E73175"/>
    <w:rsid w:val="724D47CD"/>
    <w:rsid w:val="72DA05E4"/>
    <w:rsid w:val="73696867"/>
    <w:rsid w:val="736E263D"/>
    <w:rsid w:val="73F3271F"/>
    <w:rsid w:val="74F23F66"/>
    <w:rsid w:val="751A116C"/>
    <w:rsid w:val="75295853"/>
    <w:rsid w:val="755D5634"/>
    <w:rsid w:val="760B6636"/>
    <w:rsid w:val="761262E7"/>
    <w:rsid w:val="7662101C"/>
    <w:rsid w:val="76B80C3C"/>
    <w:rsid w:val="77471FC0"/>
    <w:rsid w:val="77E912C9"/>
    <w:rsid w:val="78E33F6B"/>
    <w:rsid w:val="794C38BE"/>
    <w:rsid w:val="79852FF6"/>
    <w:rsid w:val="79BA116F"/>
    <w:rsid w:val="79ED50A1"/>
    <w:rsid w:val="7A2B7F7C"/>
    <w:rsid w:val="7A304F8E"/>
    <w:rsid w:val="7ACC2155"/>
    <w:rsid w:val="7BBA5457"/>
    <w:rsid w:val="7C156B31"/>
    <w:rsid w:val="7C5E095D"/>
    <w:rsid w:val="7CB80EEC"/>
    <w:rsid w:val="7D105E6B"/>
    <w:rsid w:val="7DD66E82"/>
    <w:rsid w:val="7E4E1E86"/>
    <w:rsid w:val="7ED20D09"/>
    <w:rsid w:val="7F121106"/>
    <w:rsid w:val="7F131561"/>
    <w:rsid w:val="7F1A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5"/>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6"/>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7"/>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
    <w:basedOn w:val="1"/>
    <w:qFormat/>
    <w:uiPriority w:val="0"/>
    <w:rPr>
      <w:rFonts w:ascii="宋体" w:hAnsi="宋体"/>
      <w:kern w:val="0"/>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9"/>
    <w:autoRedefine/>
    <w:qFormat/>
    <w:uiPriority w:val="0"/>
    <w:pPr>
      <w:spacing w:after="120"/>
      <w:ind w:firstLine="420" w:firstLineChars="200"/>
    </w:pPr>
    <w:rPr>
      <w:rFonts w:ascii="Times New Roman" w:hAnsi="Times New Roman"/>
      <w:szCs w:val="20"/>
    </w:rPr>
  </w:style>
  <w:style w:type="paragraph" w:customStyle="1" w:styleId="2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标题 1 Char"/>
    <w:basedOn w:val="19"/>
    <w:link w:val="3"/>
    <w:autoRedefine/>
    <w:qFormat/>
    <w:uiPriority w:val="9"/>
    <w:rPr>
      <w:b/>
      <w:bCs/>
      <w:kern w:val="44"/>
      <w:sz w:val="44"/>
      <w:szCs w:val="44"/>
    </w:rPr>
  </w:style>
  <w:style w:type="character" w:customStyle="1" w:styleId="22">
    <w:name w:val="标题 2 Char"/>
    <w:basedOn w:val="19"/>
    <w:link w:val="4"/>
    <w:autoRedefine/>
    <w:qFormat/>
    <w:uiPriority w:val="9"/>
    <w:rPr>
      <w:rFonts w:asciiTheme="majorHAnsi" w:hAnsiTheme="majorHAnsi" w:eastAsiaTheme="majorEastAsia" w:cstheme="majorBidi"/>
      <w:b/>
      <w:bCs/>
      <w:sz w:val="32"/>
      <w:szCs w:val="32"/>
    </w:rPr>
  </w:style>
  <w:style w:type="character" w:customStyle="1" w:styleId="23">
    <w:name w:val="标题 3 Char"/>
    <w:basedOn w:val="19"/>
    <w:link w:val="5"/>
    <w:autoRedefine/>
    <w:qFormat/>
    <w:uiPriority w:val="9"/>
    <w:rPr>
      <w:b/>
      <w:bCs/>
      <w:sz w:val="32"/>
      <w:szCs w:val="32"/>
    </w:rPr>
  </w:style>
  <w:style w:type="character" w:customStyle="1" w:styleId="24">
    <w:name w:val="标题 4 Char"/>
    <w:basedOn w:val="19"/>
    <w:link w:val="6"/>
    <w:autoRedefine/>
    <w:qFormat/>
    <w:uiPriority w:val="9"/>
    <w:rPr>
      <w:rFonts w:asciiTheme="majorHAnsi" w:hAnsiTheme="majorHAnsi" w:eastAsiaTheme="majorEastAsia" w:cstheme="majorBidi"/>
      <w:b/>
      <w:bCs/>
      <w:sz w:val="28"/>
      <w:szCs w:val="28"/>
    </w:rPr>
  </w:style>
  <w:style w:type="character" w:customStyle="1" w:styleId="25">
    <w:name w:val="标题 5 Char"/>
    <w:basedOn w:val="19"/>
    <w:link w:val="7"/>
    <w:autoRedefine/>
    <w:qFormat/>
    <w:uiPriority w:val="9"/>
    <w:rPr>
      <w:b/>
      <w:bCs/>
      <w:sz w:val="28"/>
      <w:szCs w:val="28"/>
    </w:rPr>
  </w:style>
  <w:style w:type="character" w:customStyle="1" w:styleId="26">
    <w:name w:val="标题 6 Char"/>
    <w:basedOn w:val="19"/>
    <w:link w:val="8"/>
    <w:autoRedefine/>
    <w:qFormat/>
    <w:uiPriority w:val="9"/>
    <w:rPr>
      <w:rFonts w:asciiTheme="majorHAnsi" w:hAnsiTheme="majorHAnsi" w:eastAsiaTheme="majorEastAsia" w:cstheme="majorBidi"/>
      <w:b/>
      <w:bCs/>
      <w:sz w:val="24"/>
      <w:szCs w:val="24"/>
    </w:rPr>
  </w:style>
  <w:style w:type="character" w:customStyle="1" w:styleId="27">
    <w:name w:val="正文文本 Char"/>
    <w:basedOn w:val="19"/>
    <w:link w:val="2"/>
    <w:autoRedefine/>
    <w:qFormat/>
    <w:uiPriority w:val="0"/>
    <w:rPr>
      <w:rFonts w:ascii="Times New Roman" w:hAnsi="Times New Roman" w:eastAsia="宋体" w:cs="Times New Roman"/>
      <w:kern w:val="0"/>
      <w:sz w:val="24"/>
      <w:szCs w:val="24"/>
    </w:rPr>
  </w:style>
  <w:style w:type="character" w:customStyle="1" w:styleId="28">
    <w:name w:val="NormalCharacter"/>
    <w:autoRedefine/>
    <w:qFormat/>
    <w:uiPriority w:val="99"/>
  </w:style>
  <w:style w:type="character" w:customStyle="1" w:styleId="29">
    <w:name w:val="font21"/>
    <w:basedOn w:val="19"/>
    <w:autoRedefine/>
    <w:qFormat/>
    <w:uiPriority w:val="0"/>
    <w:rPr>
      <w:rFonts w:hint="eastAsia" w:ascii="宋体" w:hAnsi="宋体" w:eastAsia="宋体" w:cs="宋体"/>
      <w:color w:val="000000"/>
      <w:sz w:val="20"/>
      <w:szCs w:val="20"/>
      <w:u w:val="none"/>
    </w:rPr>
  </w:style>
  <w:style w:type="character" w:customStyle="1" w:styleId="30">
    <w:name w:val="font41"/>
    <w:basedOn w:val="19"/>
    <w:qFormat/>
    <w:uiPriority w:val="0"/>
    <w:rPr>
      <w:rFonts w:ascii="Arial" w:hAnsi="Arial" w:cs="Arial"/>
      <w:color w:val="000000"/>
      <w:sz w:val="24"/>
      <w:szCs w:val="24"/>
      <w:u w:val="none"/>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4851</Words>
  <Characters>5589</Characters>
  <Lines>39</Lines>
  <Paragraphs>10</Paragraphs>
  <TotalTime>0</TotalTime>
  <ScaleCrop>false</ScaleCrop>
  <LinksUpToDate>false</LinksUpToDate>
  <CharactersWithSpaces>5628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2026-03-06T11:29:00Z</cp:lastPrinted>
  <dcterms:modified xsi:type="dcterms:W3CDTF">2026-03-11T09:21:31Z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758952547FE147F38857B52D64969FAD_13</vt:lpwstr>
  </property>
  <property fmtid="{D5CDD505-2E9C-101B-9397-08002B2CF9AE}" pid="4" name="KSOTemplateDocerSaveRecord">
    <vt:lpwstr>eyJoZGlkIjoiZTNlMmY5YjcxZTRkZjg5N2MyMWI3YzFkZTQ2OTdlZWQiLCJ1c2VySWQiOiI0NTEyNTg0MjYifQ==</vt:lpwstr>
  </property>
</Properties>
</file>