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8C0A5">
      <w:pPr>
        <w:jc w:val="center"/>
        <w:rPr>
          <w:rFonts w:hint="eastAsia" w:asciiTheme="minorEastAsia" w:hAnsiTheme="minorEastAsia"/>
          <w:b/>
          <w:spacing w:val="0"/>
          <w:sz w:val="32"/>
          <w:szCs w:val="32"/>
          <w:lang w:val="en-US" w:eastAsia="zh-CN"/>
        </w:rPr>
      </w:pPr>
      <w:r>
        <w:rPr>
          <w:rFonts w:hint="eastAsia" w:asciiTheme="minorEastAsia" w:hAnsiTheme="minorEastAsia"/>
          <w:b/>
          <w:spacing w:val="0"/>
          <w:sz w:val="32"/>
          <w:szCs w:val="32"/>
          <w:lang w:val="en-US" w:eastAsia="zh-CN"/>
        </w:rPr>
        <w:t>启东市自来水厂有限公司Y型过滤器2026-2027年度采购项目</w:t>
      </w:r>
    </w:p>
    <w:p w14:paraId="180F08C4">
      <w:pPr>
        <w:jc w:val="center"/>
        <w:rPr>
          <w:rFonts w:hint="eastAsia" w:asciiTheme="minorEastAsia" w:hAnsiTheme="minorEastAsia" w:eastAsiaTheme="minorEastAsia"/>
          <w:b/>
          <w:spacing w:val="0"/>
          <w:sz w:val="32"/>
          <w:szCs w:val="32"/>
          <w:lang w:val="en-US" w:eastAsia="zh-CN"/>
        </w:rPr>
      </w:pPr>
      <w:r>
        <w:rPr>
          <w:rFonts w:hint="eastAsia" w:asciiTheme="minorEastAsia" w:hAnsiTheme="minorEastAsia" w:eastAsiaTheme="minorEastAsia"/>
          <w:b/>
          <w:spacing w:val="0"/>
          <w:sz w:val="32"/>
          <w:szCs w:val="32"/>
          <w:lang w:val="en-US" w:eastAsia="zh-CN"/>
        </w:rPr>
        <w:t>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启东市自来水厂有限公司的启东市自来水厂有限公司Y型过滤器2026-2027年度采购项目即将实施，现就该项目进行市场询价调研。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一、采购需求：详见附件《启东市自来水厂有限公司Y型过滤器2026-2027年度采购项目市场询价表》。</w:t>
      </w:r>
    </w:p>
    <w:p w14:paraId="61316EBE">
      <w:pPr>
        <w:pStyle w:val="1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3B0E100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.供货周期要求：</w:t>
      </w:r>
      <w:r>
        <w:rPr>
          <w:rFonts w:hint="eastAsia" w:ascii="宋体" w:hAnsi="宋体" w:eastAsia="宋体" w:cs="宋体"/>
          <w:color w:val="auto"/>
          <w:sz w:val="24"/>
          <w:szCs w:val="24"/>
          <w:highlight w:val="none"/>
          <w:lang w:val="en-US" w:eastAsia="zh-CN"/>
        </w:rPr>
        <w:t>1年。</w:t>
      </w:r>
    </w:p>
    <w:p w14:paraId="0DE269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供货商应根据采购人通知要求的时间、批次及时供货，不得影响供货进度。若供货方不能按规定的时间供货的，在采购方同意供货方延期交货时，每逾期一天，供货方应按该批采购标的额的</w:t>
      </w:r>
      <w:r>
        <w:rPr>
          <w:rFonts w:hint="eastAsia" w:ascii="宋体" w:hAnsi="宋体" w:eastAsia="宋体" w:cs="宋体"/>
          <w:color w:val="auto"/>
          <w:sz w:val="24"/>
          <w:szCs w:val="24"/>
          <w:highlight w:val="none"/>
          <w:lang w:val="en-US" w:eastAsia="zh-CN"/>
        </w:rPr>
        <w:t>万分之四</w:t>
      </w:r>
      <w:r>
        <w:rPr>
          <w:rFonts w:hint="eastAsia" w:ascii="宋体" w:hAnsi="宋体" w:eastAsia="宋体" w:cs="宋体"/>
          <w:color w:val="auto"/>
          <w:sz w:val="24"/>
          <w:szCs w:val="24"/>
          <w:highlight w:val="none"/>
        </w:rPr>
        <w:t>向采购方支付滞纳金，逾期超过15天或在供货期内逾期交货次数累计超过2次的，采购方有权终止本合同，并没收全额履约保证金，并有权要求供货方承担</w:t>
      </w:r>
      <w:r>
        <w:rPr>
          <w:rFonts w:hint="eastAsia" w:ascii="宋体" w:hAnsi="宋体" w:eastAsia="宋体" w:cs="宋体"/>
          <w:color w:val="auto"/>
          <w:sz w:val="24"/>
          <w:szCs w:val="24"/>
          <w:highlight w:val="none"/>
          <w:lang w:val="en-US" w:eastAsia="zh-CN"/>
        </w:rPr>
        <w:t>合同价</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作为违约金。</w:t>
      </w:r>
    </w:p>
    <w:p w14:paraId="1CA7E693">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default"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val="en-US" w:eastAsia="zh-CN"/>
        </w:rPr>
        <w:t>质保要求：2年（含)以上。</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参与报价的单位需将</w:t>
      </w:r>
      <w:r>
        <w:rPr>
          <w:rStyle w:val="41"/>
          <w:rFonts w:hint="eastAsia" w:ascii="宋体" w:hAnsi="宋体" w:eastAsia="宋体" w:cs="宋体"/>
          <w:kern w:val="0"/>
          <w:sz w:val="24"/>
          <w:szCs w:val="24"/>
          <w:highlight w:val="none"/>
          <w:lang w:val="en-US" w:eastAsia="zh-CN"/>
        </w:rPr>
        <w:t>有效的</w:t>
      </w:r>
      <w:r>
        <w:rPr>
          <w:rStyle w:val="41"/>
          <w:rFonts w:hint="eastAsia" w:ascii="宋体" w:hAnsi="宋体" w:eastAsia="宋体" w:cs="宋体"/>
          <w:b/>
          <w:bCs/>
          <w:kern w:val="0"/>
          <w:sz w:val="24"/>
          <w:szCs w:val="24"/>
          <w:highlight w:val="none"/>
        </w:rPr>
        <w:t>营业执照复印件和市场询价</w:t>
      </w:r>
      <w:r>
        <w:rPr>
          <w:rStyle w:val="41"/>
          <w:rFonts w:hint="eastAsia" w:ascii="宋体" w:hAnsi="宋体" w:eastAsia="宋体" w:cs="宋体"/>
          <w:b/>
          <w:bCs/>
          <w:kern w:val="0"/>
          <w:sz w:val="24"/>
          <w:szCs w:val="24"/>
          <w:highlight w:val="none"/>
          <w:lang w:val="en-US" w:eastAsia="zh-CN"/>
        </w:rPr>
        <w:t>报价单</w:t>
      </w:r>
      <w:r>
        <w:rPr>
          <w:rStyle w:val="41"/>
          <w:rFonts w:hint="eastAsia" w:ascii="宋体" w:hAnsi="宋体" w:eastAsia="宋体" w:cs="宋体"/>
          <w:kern w:val="0"/>
          <w:sz w:val="24"/>
          <w:szCs w:val="24"/>
          <w:highlight w:val="none"/>
          <w:lang w:val="en-US" w:eastAsia="zh-CN"/>
        </w:rPr>
        <w:t>（含汇总表及分项报价表）</w:t>
      </w:r>
      <w:r>
        <w:rPr>
          <w:rStyle w:val="41"/>
          <w:rFonts w:hint="eastAsia" w:ascii="宋体" w:hAnsi="宋体" w:eastAsia="宋体" w:cs="宋体"/>
          <w:kern w:val="0"/>
          <w:sz w:val="24"/>
          <w:szCs w:val="24"/>
          <w:highlight w:val="none"/>
        </w:rPr>
        <w:t>于202</w:t>
      </w: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年</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rPr>
        <w:t>月</w:t>
      </w:r>
      <w:r>
        <w:rPr>
          <w:rStyle w:val="41"/>
          <w:rFonts w:hint="eastAsia" w:ascii="宋体" w:hAnsi="宋体" w:eastAsia="宋体" w:cs="宋体"/>
          <w:kern w:val="0"/>
          <w:sz w:val="24"/>
          <w:szCs w:val="24"/>
          <w:highlight w:val="none"/>
          <w:lang w:val="en-US" w:eastAsia="zh-CN"/>
        </w:rPr>
        <w:t>26</w:t>
      </w:r>
      <w:r>
        <w:rPr>
          <w:rStyle w:val="41"/>
          <w:rFonts w:hint="eastAsia" w:ascii="宋体" w:hAnsi="宋体" w:eastAsia="宋体" w:cs="宋体"/>
          <w:kern w:val="0"/>
          <w:sz w:val="24"/>
          <w:szCs w:val="24"/>
          <w:highlight w:val="none"/>
        </w:rPr>
        <w:t>日</w:t>
      </w:r>
      <w:r>
        <w:rPr>
          <w:rStyle w:val="41"/>
          <w:rFonts w:hint="eastAsia" w:ascii="宋体" w:hAnsi="宋体" w:eastAsia="宋体" w:cs="宋体"/>
          <w:kern w:val="0"/>
          <w:sz w:val="24"/>
          <w:szCs w:val="24"/>
          <w:highlight w:val="none"/>
        </w:rPr>
        <w:t>17:00前</w:t>
      </w:r>
      <w:r>
        <w:rPr>
          <w:rStyle w:val="41"/>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送或寄（以邮戳为准）或者电子邮箱（以邮件收到时间为准）。送或寄的地址为：</w:t>
      </w:r>
      <w:r>
        <w:rPr>
          <w:rFonts w:hint="eastAsia" w:ascii="宋体" w:hAnsi="宋体" w:eastAsia="宋体" w:cs="宋体"/>
          <w:color w:val="auto"/>
          <w:sz w:val="24"/>
          <w:szCs w:val="24"/>
          <w:highlight w:val="none"/>
          <w:u w:val="single"/>
          <w:lang w:val="en-US" w:eastAsia="zh-CN"/>
        </w:rPr>
        <w:t>启东市江海中路579号（建都大厦）2号楼三楼</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俞女士，</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0513-83721688</w:t>
      </w:r>
      <w:r>
        <w:rPr>
          <w:rFonts w:hint="eastAsia" w:ascii="宋体" w:hAnsi="宋体" w:eastAsia="宋体" w:cs="宋体"/>
          <w:color w:val="auto"/>
          <w:sz w:val="24"/>
          <w:szCs w:val="24"/>
          <w:highlight w:val="none"/>
        </w:rPr>
        <w:t>,电子邮箱地址为：</w:t>
      </w:r>
      <w:r>
        <w:rPr>
          <w:rFonts w:hint="eastAsia" w:ascii="宋体" w:hAnsi="宋体" w:eastAsia="宋体" w:cs="宋体"/>
          <w:color w:val="auto"/>
          <w:sz w:val="24"/>
          <w:szCs w:val="24"/>
          <w:highlight w:val="none"/>
          <w:u w:val="single"/>
          <w:lang w:val="en-US" w:eastAsia="zh-CN"/>
        </w:rPr>
        <w:t xml:space="preserve"> 872292813@qq.com </w:t>
      </w:r>
      <w:r>
        <w:rPr>
          <w:rFonts w:hint="eastAsia" w:ascii="宋体" w:hAnsi="宋体" w:eastAsia="宋体" w:cs="宋体"/>
          <w:color w:val="auto"/>
          <w:sz w:val="24"/>
          <w:szCs w:val="24"/>
          <w:highlight w:val="none"/>
        </w:rPr>
        <w:t>。</w:t>
      </w:r>
    </w:p>
    <w:p w14:paraId="5E26F5D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val="en-US" w:eastAsia="zh-CN"/>
        </w:rPr>
        <w:t>4</w:t>
      </w:r>
      <w:r>
        <w:rPr>
          <w:rStyle w:val="41"/>
          <w:rFonts w:hint="eastAsia" w:ascii="宋体" w:hAnsi="宋体" w:eastAsia="宋体" w:cs="宋体"/>
          <w:color w:val="auto"/>
          <w:kern w:val="0"/>
          <w:sz w:val="24"/>
          <w:szCs w:val="24"/>
          <w:highlight w:val="none"/>
        </w:rPr>
        <w:t>.报价费用说明：</w:t>
      </w:r>
    </w:p>
    <w:p w14:paraId="67AE239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lang w:val="en-US" w:eastAsia="zh-CN"/>
        </w:rPr>
        <w:t>1</w:t>
      </w:r>
      <w:r>
        <w:rPr>
          <w:rStyle w:val="41"/>
          <w:rFonts w:hint="eastAsia" w:ascii="宋体" w:hAnsi="宋体" w:eastAsia="宋体" w:cs="宋体"/>
          <w:color w:val="auto"/>
          <w:kern w:val="0"/>
          <w:sz w:val="24"/>
          <w:szCs w:val="24"/>
          <w:highlight w:val="none"/>
          <w:lang w:eastAsia="zh-CN"/>
        </w:rPr>
        <w:t>）</w:t>
      </w:r>
      <w:r>
        <w:rPr>
          <w:rStyle w:val="41"/>
          <w:rFonts w:hint="eastAsia" w:ascii="宋体" w:hAnsi="宋体" w:eastAsia="宋体" w:cs="宋体"/>
          <w:color w:val="auto"/>
          <w:kern w:val="0"/>
          <w:sz w:val="24"/>
          <w:szCs w:val="24"/>
          <w:highlight w:val="none"/>
        </w:rPr>
        <w:t>本项目采取固定单价报价，各</w:t>
      </w:r>
      <w:r>
        <w:rPr>
          <w:rStyle w:val="41"/>
          <w:rFonts w:hint="eastAsia" w:ascii="宋体" w:hAnsi="宋体" w:eastAsia="宋体" w:cs="宋体"/>
          <w:color w:val="auto"/>
          <w:kern w:val="0"/>
          <w:sz w:val="24"/>
          <w:szCs w:val="24"/>
          <w:highlight w:val="none"/>
          <w:lang w:val="en-US" w:eastAsia="zh-CN"/>
        </w:rPr>
        <w:t>报价</w:t>
      </w:r>
      <w:r>
        <w:rPr>
          <w:rStyle w:val="41"/>
          <w:rFonts w:hint="eastAsia" w:ascii="宋体" w:hAnsi="宋体" w:eastAsia="宋体" w:cs="宋体"/>
          <w:color w:val="auto"/>
          <w:kern w:val="0"/>
          <w:sz w:val="24"/>
          <w:szCs w:val="24"/>
          <w:highlight w:val="none"/>
        </w:rPr>
        <w:t>人</w:t>
      </w:r>
      <w:r>
        <w:rPr>
          <w:rStyle w:val="41"/>
          <w:rFonts w:hint="eastAsia" w:ascii="宋体" w:hAnsi="宋体" w:eastAsia="宋体" w:cs="宋体"/>
          <w:color w:val="auto"/>
          <w:kern w:val="0"/>
          <w:sz w:val="24"/>
          <w:szCs w:val="24"/>
          <w:highlight w:val="none"/>
          <w:lang w:val="en-US" w:eastAsia="zh-CN"/>
        </w:rPr>
        <w:t>需考虑投标时</w:t>
      </w:r>
      <w:r>
        <w:rPr>
          <w:rStyle w:val="41"/>
          <w:rFonts w:hint="eastAsia" w:ascii="宋体" w:hAnsi="宋体" w:eastAsia="宋体" w:cs="宋体"/>
          <w:color w:val="auto"/>
          <w:kern w:val="0"/>
          <w:sz w:val="24"/>
          <w:szCs w:val="24"/>
          <w:highlight w:val="none"/>
        </w:rPr>
        <w:t>每项的分项综合单价报价与分项最高限价相比的下浮率必须一致。</w:t>
      </w:r>
    </w:p>
    <w:p w14:paraId="7BF64D3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2</w:t>
      </w:r>
      <w:r>
        <w:rPr>
          <w:rStyle w:val="41"/>
          <w:rFonts w:hint="eastAsia" w:ascii="宋体" w:hAnsi="宋体" w:eastAsia="宋体" w:cs="宋体"/>
          <w:color w:val="auto"/>
          <w:kern w:val="0"/>
          <w:sz w:val="24"/>
          <w:szCs w:val="24"/>
          <w:highlight w:val="none"/>
        </w:rPr>
        <w:t>）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ECB4EB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color w:val="auto"/>
          <w:kern w:val="0"/>
          <w:sz w:val="24"/>
          <w:szCs w:val="24"/>
          <w:highlight w:val="none"/>
        </w:rPr>
      </w:pPr>
      <w:r>
        <w:rPr>
          <w:rStyle w:val="41"/>
          <w:rFonts w:hint="eastAsia" w:ascii="宋体" w:hAnsi="宋体" w:eastAsia="宋体" w:cs="宋体"/>
          <w:color w:val="auto"/>
          <w:kern w:val="0"/>
          <w:sz w:val="24"/>
          <w:szCs w:val="24"/>
          <w:highlight w:val="none"/>
        </w:rPr>
        <w:t>（</w:t>
      </w:r>
      <w:r>
        <w:rPr>
          <w:rStyle w:val="41"/>
          <w:rFonts w:hint="eastAsia" w:ascii="宋体" w:hAnsi="宋体" w:eastAsia="宋体" w:cs="宋体"/>
          <w:color w:val="auto"/>
          <w:kern w:val="0"/>
          <w:sz w:val="24"/>
          <w:szCs w:val="24"/>
          <w:highlight w:val="none"/>
          <w:lang w:val="en-US" w:eastAsia="zh-CN"/>
        </w:rPr>
        <w:t>3</w:t>
      </w:r>
      <w:r>
        <w:rPr>
          <w:rStyle w:val="41"/>
          <w:rFonts w:hint="eastAsia" w:ascii="宋体" w:hAnsi="宋体" w:eastAsia="宋体" w:cs="宋体"/>
          <w:color w:val="auto"/>
          <w:kern w:val="0"/>
          <w:sz w:val="24"/>
          <w:szCs w:val="24"/>
          <w:highlight w:val="none"/>
        </w:rPr>
        <w:t>）投标人的投标报价应</w:t>
      </w:r>
      <w:r>
        <w:rPr>
          <w:rStyle w:val="41"/>
          <w:rFonts w:hint="eastAsia" w:ascii="宋体" w:hAnsi="宋体" w:eastAsia="宋体" w:cs="宋体"/>
          <w:color w:val="auto"/>
          <w:kern w:val="0"/>
          <w:sz w:val="24"/>
          <w:szCs w:val="24"/>
          <w:highlight w:val="none"/>
          <w:lang w:val="en-US" w:eastAsia="zh-CN"/>
        </w:rPr>
        <w:t>包括货物的制作、运输（含上下人力费）、材料检测费、保险、装卸、配件、13%税率</w:t>
      </w:r>
      <w:r>
        <w:rPr>
          <w:rStyle w:val="41"/>
          <w:rFonts w:hint="eastAsia" w:ascii="宋体" w:hAnsi="宋体" w:eastAsia="宋体" w:cs="宋体"/>
          <w:color w:val="auto"/>
          <w:kern w:val="0"/>
          <w:sz w:val="24"/>
          <w:szCs w:val="24"/>
          <w:highlight w:val="none"/>
          <w:lang w:val="en-US" w:eastAsia="zh-CN"/>
        </w:rPr>
        <w:t>、现场安装技术指导、售后服务等所有费用，和政策性文件规定及合同包含的所有风险、责任等各项应有费用，即招标物交付使用前的所有费用以及免保期内的服务费用。</w:t>
      </w:r>
    </w:p>
    <w:p w14:paraId="112A1235">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Fonts w:hint="eastAsia" w:ascii="宋体" w:hAnsi="宋体" w:eastAsia="宋体" w:cs="宋体"/>
          <w:color w:val="auto"/>
          <w:sz w:val="24"/>
          <w:szCs w:val="24"/>
          <w:highlight w:val="none"/>
          <w:lang w:val="zh-CN" w:eastAsia="zh-CN"/>
        </w:rPr>
        <w:t>各供应商在报价时请充分考虑各种因素</w:t>
      </w:r>
      <w:r>
        <w:rPr>
          <w:rStyle w:val="41"/>
          <w:rFonts w:hint="eastAsia" w:ascii="宋体" w:hAnsi="宋体" w:eastAsia="宋体" w:cs="宋体"/>
          <w:kern w:val="0"/>
          <w:sz w:val="24"/>
          <w:szCs w:val="24"/>
          <w:highlight w:val="none"/>
          <w:lang w:val="en-US" w:eastAsia="zh-CN"/>
        </w:rPr>
        <w:t>。</w:t>
      </w:r>
    </w:p>
    <w:p w14:paraId="52967B6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5</w:t>
      </w:r>
      <w:r>
        <w:rPr>
          <w:rStyle w:val="41"/>
          <w:rFonts w:hint="eastAsia" w:ascii="宋体" w:hAnsi="宋体" w:eastAsia="宋体" w:cs="宋体"/>
          <w:kern w:val="0"/>
          <w:sz w:val="24"/>
          <w:szCs w:val="24"/>
          <w:highlight w:val="none"/>
        </w:rPr>
        <w:t>.</w:t>
      </w:r>
      <w:r>
        <w:rPr>
          <w:rFonts w:hint="eastAsia" w:ascii="宋体" w:hAnsi="宋体" w:eastAsia="宋体" w:cs="宋体"/>
          <w:color w:val="auto"/>
          <w:sz w:val="24"/>
          <w:szCs w:val="24"/>
          <w:highlight w:val="none"/>
        </w:rPr>
        <w:t>营业执照</w:t>
      </w:r>
      <w:r>
        <w:rPr>
          <w:rFonts w:hint="eastAsia" w:ascii="宋体" w:hAnsi="宋体" w:eastAsia="宋体" w:cs="宋体"/>
          <w:color w:val="auto"/>
          <w:sz w:val="24"/>
          <w:szCs w:val="24"/>
          <w:highlight w:val="none"/>
          <w:lang w:val="en-US" w:eastAsia="zh-CN"/>
        </w:rPr>
        <w:t>及</w:t>
      </w:r>
      <w:r>
        <w:rPr>
          <w:rFonts w:hint="eastAsia" w:ascii="宋体" w:hAnsi="宋体" w:eastAsia="宋体" w:cs="宋体"/>
          <w:sz w:val="24"/>
          <w:szCs w:val="24"/>
          <w:highlight w:val="none"/>
        </w:rPr>
        <w:t>所有报价单必须加盖报价</w:t>
      </w:r>
      <w:r>
        <w:rPr>
          <w:rFonts w:hint="eastAsia" w:ascii="宋体" w:hAnsi="宋体" w:eastAsia="宋体" w:cs="宋体"/>
          <w:sz w:val="24"/>
          <w:szCs w:val="24"/>
          <w:highlight w:val="none"/>
          <w:lang w:val="en-US" w:eastAsia="zh-CN"/>
        </w:rPr>
        <w:t>单位</w:t>
      </w:r>
      <w:r>
        <w:rPr>
          <w:rFonts w:hint="eastAsia" w:ascii="宋体" w:hAnsi="宋体" w:eastAsia="宋体" w:cs="宋体"/>
          <w:sz w:val="24"/>
          <w:szCs w:val="24"/>
          <w:highlight w:val="none"/>
        </w:rPr>
        <w:t>公章</w:t>
      </w:r>
      <w:r>
        <w:rPr>
          <w:rFonts w:hint="eastAsia" w:ascii="宋体" w:hAnsi="宋体" w:eastAsia="宋体" w:cs="宋体"/>
          <w:sz w:val="24"/>
          <w:szCs w:val="24"/>
          <w:highlight w:val="none"/>
          <w:lang w:eastAsia="zh-CN"/>
        </w:rPr>
        <w:t>。</w:t>
      </w:r>
    </w:p>
    <w:p w14:paraId="01AA635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Style w:val="41"/>
          <w:rFonts w:hint="eastAsia" w:ascii="宋体" w:hAnsi="宋体" w:eastAsia="宋体" w:cs="宋体"/>
          <w:kern w:val="0"/>
          <w:sz w:val="24"/>
          <w:szCs w:val="24"/>
          <w:highlight w:val="none"/>
          <w:lang w:val="en-US" w:eastAsia="zh-CN"/>
        </w:rPr>
      </w:pPr>
      <w:r>
        <w:rPr>
          <w:rStyle w:val="41"/>
          <w:rFonts w:hint="eastAsia" w:ascii="宋体" w:hAnsi="宋体" w:eastAsia="宋体" w:cs="宋体"/>
          <w:kern w:val="0"/>
          <w:sz w:val="24"/>
          <w:szCs w:val="24"/>
          <w:highlight w:val="none"/>
          <w:lang w:val="en-US" w:eastAsia="zh-CN"/>
        </w:rPr>
        <w:t>6</w:t>
      </w:r>
      <w:r>
        <w:rPr>
          <w:rStyle w:val="41"/>
          <w:rFonts w:hint="eastAsia" w:ascii="宋体" w:hAnsi="宋体" w:eastAsia="宋体" w:cs="宋体"/>
          <w:kern w:val="0"/>
          <w:sz w:val="24"/>
          <w:szCs w:val="24"/>
          <w:highlight w:val="none"/>
        </w:rPr>
        <w:t>.拟定</w:t>
      </w:r>
      <w:r>
        <w:rPr>
          <w:rStyle w:val="41"/>
          <w:rFonts w:hint="eastAsia" w:ascii="宋体" w:hAnsi="宋体" w:eastAsia="宋体" w:cs="宋体"/>
          <w:kern w:val="0"/>
          <w:sz w:val="24"/>
          <w:szCs w:val="24"/>
          <w:highlight w:val="none"/>
          <w:lang w:val="en-US" w:eastAsia="zh-CN"/>
        </w:rPr>
        <w:t>付款</w:t>
      </w:r>
      <w:r>
        <w:rPr>
          <w:rStyle w:val="41"/>
          <w:rFonts w:hint="eastAsia" w:ascii="宋体" w:hAnsi="宋体" w:eastAsia="宋体" w:cs="宋体"/>
          <w:kern w:val="0"/>
          <w:sz w:val="24"/>
          <w:szCs w:val="24"/>
          <w:highlight w:val="none"/>
        </w:rPr>
        <w:t>方式</w:t>
      </w:r>
      <w:r>
        <w:rPr>
          <w:rStyle w:val="41"/>
          <w:rFonts w:hint="eastAsia" w:ascii="宋体" w:hAnsi="宋体" w:eastAsia="宋体" w:cs="宋体"/>
          <w:kern w:val="0"/>
          <w:sz w:val="24"/>
          <w:szCs w:val="24"/>
          <w:highlight w:val="none"/>
          <w:lang w:eastAsia="zh-CN"/>
        </w:rPr>
        <w:t>：本次采购量为预估量，最终结算按每次实际采购量计，每次供货完毕并经验收合格后，收到</w:t>
      </w:r>
      <w:r>
        <w:rPr>
          <w:rStyle w:val="41"/>
          <w:rFonts w:hint="eastAsia" w:ascii="宋体" w:hAnsi="宋体" w:eastAsia="宋体" w:cs="宋体"/>
          <w:kern w:val="0"/>
          <w:sz w:val="24"/>
          <w:szCs w:val="24"/>
          <w:highlight w:val="none"/>
          <w:lang w:val="en-US" w:eastAsia="zh-CN"/>
        </w:rPr>
        <w:t>供货方</w:t>
      </w:r>
      <w:r>
        <w:rPr>
          <w:rStyle w:val="41"/>
          <w:rFonts w:hint="eastAsia" w:ascii="宋体" w:hAnsi="宋体" w:eastAsia="宋体" w:cs="宋体"/>
          <w:kern w:val="0"/>
          <w:sz w:val="24"/>
          <w:szCs w:val="24"/>
          <w:highlight w:val="none"/>
          <w:lang w:eastAsia="zh-CN"/>
        </w:rPr>
        <w:t>相应的增值税专用发票后30天内支付该批订单的90%货款，</w:t>
      </w:r>
      <w:r>
        <w:rPr>
          <w:rStyle w:val="41"/>
          <w:rFonts w:hint="eastAsia" w:ascii="宋体" w:hAnsi="宋体" w:eastAsia="宋体" w:cs="宋体"/>
          <w:kern w:val="0"/>
          <w:sz w:val="24"/>
          <w:szCs w:val="24"/>
          <w:highlight w:val="none"/>
          <w:lang w:val="en-US" w:eastAsia="zh-CN"/>
        </w:rPr>
        <w:t>剩余</w:t>
      </w:r>
      <w:r>
        <w:rPr>
          <w:rStyle w:val="41"/>
          <w:rFonts w:hint="eastAsia" w:ascii="宋体" w:hAnsi="宋体" w:eastAsia="宋体" w:cs="宋体"/>
          <w:kern w:val="0"/>
          <w:sz w:val="24"/>
          <w:szCs w:val="24"/>
          <w:highlight w:val="none"/>
          <w:lang w:eastAsia="zh-CN"/>
        </w:rPr>
        <w:t>10%</w:t>
      </w:r>
      <w:r>
        <w:rPr>
          <w:rStyle w:val="41"/>
          <w:rFonts w:hint="eastAsia" w:ascii="宋体" w:hAnsi="宋体" w:eastAsia="宋体" w:cs="宋体"/>
          <w:kern w:val="0"/>
          <w:sz w:val="24"/>
          <w:szCs w:val="24"/>
          <w:highlight w:val="none"/>
          <w:lang w:val="en-US" w:eastAsia="zh-CN"/>
        </w:rPr>
        <w:t>的货款</w:t>
      </w:r>
      <w:r>
        <w:rPr>
          <w:rStyle w:val="41"/>
          <w:rFonts w:hint="eastAsia" w:ascii="宋体" w:hAnsi="宋体" w:eastAsia="宋体" w:cs="宋体"/>
          <w:kern w:val="0"/>
          <w:sz w:val="24"/>
          <w:szCs w:val="24"/>
          <w:highlight w:val="none"/>
          <w:lang w:eastAsia="zh-CN"/>
        </w:rPr>
        <w:t>于合同期结束满</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年后，经采购单位认可后一次性结清。</w:t>
      </w:r>
      <w:r>
        <w:rPr>
          <w:rStyle w:val="41"/>
          <w:rFonts w:hint="eastAsia" w:ascii="宋体" w:hAnsi="宋体" w:eastAsia="宋体" w:cs="宋体"/>
          <w:kern w:val="0"/>
          <w:sz w:val="24"/>
          <w:szCs w:val="24"/>
          <w:highlight w:val="none"/>
          <w:lang w:val="en-US" w:eastAsia="zh-CN"/>
        </w:rPr>
        <w:t>若供货方未开具发票，采购方有权拒付相应款项，并不承担相应的逾期付款的违约责任。</w:t>
      </w:r>
    </w:p>
    <w:p w14:paraId="3B0E780C">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asciiTheme="minorEastAsia" w:hAnsiTheme="minorEastAsia"/>
          <w:sz w:val="24"/>
          <w:szCs w:val="24"/>
          <w:highlight w:val="none"/>
        </w:rPr>
      </w:pPr>
      <w:r>
        <w:rPr>
          <w:rStyle w:val="41"/>
          <w:rFonts w:hint="eastAsia" w:ascii="宋体" w:hAnsi="宋体" w:eastAsia="宋体" w:cs="宋体"/>
          <w:kern w:val="0"/>
          <w:sz w:val="24"/>
          <w:szCs w:val="24"/>
          <w:highlight w:val="none"/>
          <w:lang w:val="en-US" w:eastAsia="zh-CN"/>
        </w:rPr>
        <w:t>7</w:t>
      </w:r>
      <w:r>
        <w:rPr>
          <w:rStyle w:val="41"/>
          <w:rFonts w:hint="eastAsia" w:ascii="宋体" w:hAnsi="宋体" w:eastAsia="宋体" w:cs="宋体"/>
          <w:kern w:val="0"/>
          <w:sz w:val="24"/>
          <w:szCs w:val="24"/>
          <w:highlight w:val="none"/>
        </w:rPr>
        <w:t>.其他：</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1</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请报价单位认真核算、如实报价，如发现虚假报价的，该单位今后将</w:t>
      </w:r>
      <w:r>
        <w:rPr>
          <w:rStyle w:val="41"/>
          <w:rFonts w:hint="eastAsia" w:ascii="宋体" w:hAnsi="宋体" w:eastAsia="宋体" w:cs="宋体"/>
          <w:kern w:val="0"/>
          <w:sz w:val="24"/>
          <w:szCs w:val="24"/>
          <w:highlight w:val="none"/>
          <w:lang w:val="en-US" w:eastAsia="zh-CN"/>
        </w:rPr>
        <w:t>记入</w:t>
      </w:r>
      <w:r>
        <w:rPr>
          <w:rStyle w:val="41"/>
          <w:rFonts w:hint="eastAsia" w:ascii="宋体" w:hAnsi="宋体" w:eastAsia="宋体" w:cs="宋体"/>
          <w:kern w:val="0"/>
          <w:sz w:val="24"/>
          <w:szCs w:val="24"/>
          <w:highlight w:val="none"/>
        </w:rPr>
        <w:t>采购</w:t>
      </w:r>
      <w:r>
        <w:rPr>
          <w:rStyle w:val="41"/>
          <w:rFonts w:hint="eastAsia" w:ascii="宋体" w:hAnsi="宋体" w:eastAsia="宋体" w:cs="宋体"/>
          <w:kern w:val="0"/>
          <w:sz w:val="24"/>
          <w:szCs w:val="24"/>
          <w:highlight w:val="none"/>
          <w:lang w:val="en-US" w:eastAsia="zh-CN"/>
        </w:rPr>
        <w:t>人招标市场的黑名单</w:t>
      </w:r>
      <w:r>
        <w:rPr>
          <w:rStyle w:val="41"/>
          <w:rFonts w:hint="eastAsia" w:ascii="宋体" w:hAnsi="宋体" w:eastAsia="宋体" w:cs="宋体"/>
          <w:kern w:val="0"/>
          <w:sz w:val="24"/>
          <w:szCs w:val="24"/>
          <w:highlight w:val="none"/>
        </w:rPr>
        <w:t>；</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2</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本次报价仅作为市场调研用，因此价格仅供参考；</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lang w:val="en-US" w:eastAsia="zh-CN"/>
        </w:rPr>
        <w:t>3</w:t>
      </w:r>
      <w:r>
        <w:rPr>
          <w:rStyle w:val="41"/>
          <w:rFonts w:hint="eastAsia" w:ascii="宋体" w:hAnsi="宋体" w:eastAsia="宋体" w:cs="宋体"/>
          <w:kern w:val="0"/>
          <w:sz w:val="24"/>
          <w:szCs w:val="24"/>
          <w:highlight w:val="none"/>
          <w:lang w:eastAsia="zh-CN"/>
        </w:rPr>
        <w:t>）</w:t>
      </w:r>
      <w:r>
        <w:rPr>
          <w:rStyle w:val="41"/>
          <w:rFonts w:hint="eastAsia" w:ascii="宋体" w:hAnsi="宋体" w:eastAsia="宋体" w:cs="宋体"/>
          <w:kern w:val="0"/>
          <w:sz w:val="24"/>
          <w:szCs w:val="24"/>
          <w:highlight w:val="none"/>
        </w:rPr>
        <w:t>本次调研询价不接收质疑函，只接收对本项目的建议。</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41"/>
          <w:rFonts w:hint="eastAsia" w:ascii="宋体" w:hAnsi="宋体" w:eastAsia="宋体" w:cs="宋体"/>
          <w:kern w:val="0"/>
          <w:sz w:val="24"/>
          <w:szCs w:val="24"/>
          <w:highlight w:val="none"/>
          <w:lang w:val="en-US" w:eastAsia="zh-CN" w:bidi="ar-SA"/>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41"/>
          <w:rFonts w:hint="eastAsia" w:ascii="宋体" w:hAnsi="宋体" w:eastAsia="宋体" w:cs="宋体"/>
          <w:kern w:val="0"/>
          <w:sz w:val="24"/>
          <w:szCs w:val="24"/>
          <w:highlight w:val="none"/>
          <w:lang w:val="en-US" w:eastAsia="zh-CN" w:bidi="ar-SA"/>
        </w:rPr>
      </w:pPr>
      <w:r>
        <w:rPr>
          <w:rStyle w:val="41"/>
          <w:rFonts w:hint="eastAsia" w:ascii="宋体" w:hAnsi="宋体" w:eastAsia="宋体" w:cs="宋体"/>
          <w:kern w:val="0"/>
          <w:sz w:val="24"/>
          <w:szCs w:val="24"/>
          <w:highlight w:val="none"/>
          <w:lang w:val="en-US" w:eastAsia="zh-CN" w:bidi="ar-SA"/>
        </w:rPr>
        <w:t>2026年3月20日</w:t>
      </w:r>
    </w:p>
    <w:p w14:paraId="10B6DC4A">
      <w:pPr>
        <w:rPr>
          <w:rFonts w:hint="default" w:ascii="宋体" w:hAnsi="宋体" w:eastAsia="宋体" w:cs="宋体"/>
          <w:b/>
          <w:color w:val="auto"/>
          <w:kern w:val="0"/>
          <w:sz w:val="28"/>
          <w:szCs w:val="28"/>
          <w:highlight w:val="none"/>
          <w:lang w:val="en-US" w:eastAsia="zh-CN"/>
        </w:rPr>
      </w:pPr>
    </w:p>
    <w:p w14:paraId="22F64D54">
      <w:pPr>
        <w:pStyle w:val="2"/>
        <w:rPr>
          <w:rFonts w:hint="default" w:ascii="宋体" w:hAnsi="宋体" w:eastAsia="宋体" w:cs="宋体"/>
          <w:b/>
          <w:color w:val="auto"/>
          <w:kern w:val="0"/>
          <w:sz w:val="28"/>
          <w:szCs w:val="28"/>
          <w:highlight w:val="none"/>
          <w:lang w:val="en-US" w:eastAsia="zh-CN"/>
        </w:rPr>
      </w:pPr>
    </w:p>
    <w:p w14:paraId="5E709A90">
      <w:pPr>
        <w:rPr>
          <w:rFonts w:hint="default" w:ascii="宋体" w:hAnsi="宋体" w:eastAsia="宋体" w:cs="宋体"/>
          <w:b/>
          <w:color w:val="auto"/>
          <w:kern w:val="0"/>
          <w:sz w:val="28"/>
          <w:szCs w:val="28"/>
          <w:highlight w:val="none"/>
          <w:lang w:val="en-US" w:eastAsia="zh-CN"/>
        </w:rPr>
      </w:pPr>
    </w:p>
    <w:p w14:paraId="6EC3AB09">
      <w:pPr>
        <w:pStyle w:val="2"/>
        <w:rPr>
          <w:rFonts w:hint="default" w:ascii="宋体" w:hAnsi="宋体" w:eastAsia="宋体" w:cs="宋体"/>
          <w:b/>
          <w:color w:val="auto"/>
          <w:kern w:val="0"/>
          <w:sz w:val="28"/>
          <w:szCs w:val="28"/>
          <w:highlight w:val="none"/>
          <w:lang w:val="en-US" w:eastAsia="zh-CN"/>
        </w:rPr>
      </w:pPr>
    </w:p>
    <w:p w14:paraId="574FCDE5">
      <w:pPr>
        <w:rPr>
          <w:rFonts w:hint="default" w:ascii="宋体" w:hAnsi="宋体" w:eastAsia="宋体" w:cs="宋体"/>
          <w:b/>
          <w:color w:val="auto"/>
          <w:kern w:val="0"/>
          <w:sz w:val="28"/>
          <w:szCs w:val="28"/>
          <w:highlight w:val="none"/>
          <w:lang w:val="en-US" w:eastAsia="zh-CN"/>
        </w:rPr>
      </w:pPr>
    </w:p>
    <w:p w14:paraId="4D003E8C">
      <w:pPr>
        <w:pStyle w:val="2"/>
        <w:rPr>
          <w:rFonts w:hint="default" w:ascii="宋体" w:hAnsi="宋体" w:eastAsia="宋体" w:cs="宋体"/>
          <w:b/>
          <w:color w:val="auto"/>
          <w:kern w:val="0"/>
          <w:sz w:val="28"/>
          <w:szCs w:val="28"/>
          <w:highlight w:val="none"/>
          <w:lang w:val="en-US" w:eastAsia="zh-CN"/>
        </w:rPr>
      </w:pPr>
    </w:p>
    <w:p w14:paraId="18E2E567">
      <w:pPr>
        <w:pStyle w:val="2"/>
        <w:rPr>
          <w:rFonts w:hint="eastAsia" w:ascii="宋体" w:hAnsi="宋体" w:cs="宋体"/>
          <w:b/>
          <w:color w:val="auto"/>
          <w:kern w:val="0"/>
          <w:sz w:val="28"/>
          <w:szCs w:val="28"/>
          <w:highlight w:val="none"/>
          <w:lang w:val="en-US" w:eastAsia="zh-CN"/>
        </w:rPr>
      </w:pPr>
    </w:p>
    <w:p w14:paraId="6150418D">
      <w:pPr>
        <w:pStyle w:val="2"/>
        <w:rPr>
          <w:rFonts w:hint="eastAsia" w:ascii="宋体" w:hAnsi="宋体" w:cs="宋体"/>
          <w:b/>
          <w:color w:val="auto"/>
          <w:kern w:val="0"/>
          <w:sz w:val="28"/>
          <w:szCs w:val="28"/>
          <w:highlight w:val="none"/>
          <w:lang w:val="en-US" w:eastAsia="zh-CN"/>
        </w:rPr>
      </w:pPr>
    </w:p>
    <w:p w14:paraId="526FF72C">
      <w:pPr>
        <w:pStyle w:val="2"/>
        <w:rPr>
          <w:rFonts w:hint="eastAsia" w:ascii="宋体" w:hAnsi="宋体" w:cs="宋体"/>
          <w:b/>
          <w:color w:val="auto"/>
          <w:kern w:val="0"/>
          <w:sz w:val="28"/>
          <w:szCs w:val="28"/>
          <w:highlight w:val="none"/>
          <w:lang w:val="en-US" w:eastAsia="zh-CN"/>
        </w:rPr>
      </w:pPr>
    </w:p>
    <w:p w14:paraId="1E6E471A">
      <w:pPr>
        <w:pStyle w:val="2"/>
        <w:rPr>
          <w:rFonts w:hint="eastAsia" w:ascii="宋体" w:hAnsi="宋体" w:cs="宋体"/>
          <w:b/>
          <w:color w:val="auto"/>
          <w:kern w:val="0"/>
          <w:sz w:val="28"/>
          <w:szCs w:val="28"/>
          <w:highlight w:val="none"/>
          <w:lang w:val="en-US" w:eastAsia="zh-CN"/>
        </w:rPr>
      </w:pPr>
    </w:p>
    <w:p w14:paraId="5F5A4B4A">
      <w:pPr>
        <w:pStyle w:val="2"/>
        <w:rPr>
          <w:rFonts w:hint="eastAsia" w:ascii="宋体" w:hAnsi="宋体" w:cs="宋体"/>
          <w:b/>
          <w:color w:val="auto"/>
          <w:kern w:val="0"/>
          <w:sz w:val="28"/>
          <w:szCs w:val="28"/>
          <w:highlight w:val="none"/>
          <w:lang w:val="en-US" w:eastAsia="zh-CN"/>
        </w:rPr>
      </w:pPr>
    </w:p>
    <w:p w14:paraId="0695B097">
      <w:pPr>
        <w:pStyle w:val="2"/>
        <w:rPr>
          <w:rFonts w:hint="eastAsia" w:ascii="宋体" w:hAnsi="宋体" w:cs="宋体"/>
          <w:b/>
          <w:color w:val="auto"/>
          <w:kern w:val="0"/>
          <w:sz w:val="28"/>
          <w:szCs w:val="28"/>
          <w:highlight w:val="none"/>
          <w:lang w:val="en-US" w:eastAsia="zh-CN"/>
        </w:rPr>
      </w:pPr>
    </w:p>
    <w:p w14:paraId="3B2C24AA">
      <w:pPr>
        <w:pStyle w:val="2"/>
        <w:rPr>
          <w:rFonts w:hint="eastAsia" w:ascii="宋体" w:hAnsi="宋体" w:cs="宋体"/>
          <w:b/>
          <w:color w:val="auto"/>
          <w:kern w:val="0"/>
          <w:sz w:val="28"/>
          <w:szCs w:val="28"/>
          <w:highlight w:val="none"/>
          <w:lang w:val="en-US" w:eastAsia="zh-CN"/>
        </w:rPr>
      </w:pPr>
    </w:p>
    <w:p w14:paraId="4D5DF41A">
      <w:pPr>
        <w:pStyle w:val="2"/>
        <w:rPr>
          <w:rFonts w:hint="eastAsia" w:ascii="宋体" w:hAnsi="宋体" w:cs="宋体"/>
          <w:b/>
          <w:color w:val="auto"/>
          <w:kern w:val="0"/>
          <w:sz w:val="28"/>
          <w:szCs w:val="28"/>
          <w:highlight w:val="none"/>
          <w:lang w:val="en-US" w:eastAsia="zh-CN"/>
        </w:rPr>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C2E0F0">
      <w:pPr>
        <w:pStyle w:val="2"/>
        <w:rPr>
          <w:rFonts w:hint="eastAsia" w:ascii="宋体" w:hAnsi="宋体" w:cs="宋体"/>
          <w:b/>
          <w:color w:val="auto"/>
          <w:kern w:val="0"/>
          <w:sz w:val="28"/>
          <w:szCs w:val="28"/>
          <w:highlight w:val="none"/>
          <w:lang w:val="en-US" w:eastAsia="zh-CN"/>
        </w:rPr>
      </w:pPr>
      <w:r>
        <w:rPr>
          <w:rFonts w:hint="eastAsia" w:ascii="宋体" w:hAnsi="宋体" w:cs="宋体"/>
          <w:b/>
          <w:color w:val="auto"/>
          <w:kern w:val="0"/>
          <w:sz w:val="28"/>
          <w:szCs w:val="28"/>
          <w:highlight w:val="none"/>
          <w:lang w:val="en-US" w:eastAsia="zh-CN"/>
        </w:rPr>
        <w:t>附件：</w:t>
      </w:r>
    </w:p>
    <w:p w14:paraId="552FFD5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cs="宋体"/>
          <w:b/>
          <w:sz w:val="32"/>
          <w:szCs w:val="32"/>
          <w:lang w:val="en-US" w:eastAsia="zh-CN"/>
        </w:rPr>
      </w:pPr>
      <w:r>
        <w:rPr>
          <w:rFonts w:hint="eastAsia" w:ascii="宋体" w:hAnsi="宋体" w:cs="宋体"/>
          <w:b/>
          <w:sz w:val="32"/>
          <w:szCs w:val="32"/>
          <w:lang w:val="en-US" w:eastAsia="zh-CN"/>
        </w:rPr>
        <w:t>启东市自来水厂有限公司Y型过滤器2026-2027年度采购项目</w:t>
      </w:r>
    </w:p>
    <w:p w14:paraId="7699F6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cs="宋体" w:eastAsiaTheme="minorEastAsia"/>
          <w:b/>
          <w:sz w:val="32"/>
          <w:szCs w:val="32"/>
          <w:lang w:val="en-US" w:eastAsia="zh-CN"/>
        </w:rPr>
      </w:pPr>
      <w:r>
        <w:rPr>
          <w:rFonts w:hint="eastAsia" w:ascii="宋体" w:hAnsi="宋体" w:cs="宋体"/>
          <w:b/>
          <w:sz w:val="32"/>
          <w:szCs w:val="32"/>
          <w:lang w:val="en-US" w:eastAsia="zh-CN"/>
        </w:rPr>
        <w:t>市场询价表</w:t>
      </w:r>
    </w:p>
    <w:tbl>
      <w:tblPr>
        <w:tblStyle w:val="19"/>
        <w:tblW w:w="10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1880"/>
        <w:gridCol w:w="1784"/>
        <w:gridCol w:w="783"/>
        <w:gridCol w:w="867"/>
        <w:gridCol w:w="700"/>
        <w:gridCol w:w="1183"/>
        <w:gridCol w:w="899"/>
        <w:gridCol w:w="1000"/>
      </w:tblGrid>
      <w:tr w14:paraId="342E4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3C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5B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80AE">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yellow"/>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225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AB3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预估用量</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A0B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报价品牌</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9F42">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综合单价        （元）</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6DFD">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合计               （元）</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EFAD3">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备注</w:t>
            </w:r>
          </w:p>
        </w:tc>
      </w:tr>
      <w:tr w14:paraId="37023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E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0" w:type="dxa"/>
            <w:vMerge w:val="restart"/>
            <w:tcBorders>
              <w:top w:val="single" w:color="000000" w:sz="4" w:space="0"/>
              <w:left w:val="single" w:color="000000" w:sz="4" w:space="0"/>
              <w:right w:val="single" w:color="000000" w:sz="4" w:space="0"/>
            </w:tcBorders>
            <w:shd w:val="clear" w:color="auto" w:fill="auto"/>
            <w:noWrap/>
            <w:vAlign w:val="center"/>
          </w:tcPr>
          <w:p w14:paraId="6D0407D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Y型过滤器</w:t>
            </w:r>
          </w:p>
        </w:tc>
        <w:tc>
          <w:tcPr>
            <w:tcW w:w="1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DF49">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DN100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E0C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12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120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6A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01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FDA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restart"/>
            <w:tcBorders>
              <w:top w:val="single" w:color="000000" w:sz="4" w:space="0"/>
              <w:left w:val="single" w:color="000000" w:sz="4" w:space="0"/>
              <w:right w:val="single" w:color="000000" w:sz="4" w:space="0"/>
            </w:tcBorders>
            <w:shd w:val="clear" w:color="auto" w:fill="auto"/>
            <w:noWrap/>
            <w:vAlign w:val="center"/>
          </w:tcPr>
          <w:p w14:paraId="53AC99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含13%增值税、含运费、含卸货费等全部费用</w:t>
            </w:r>
          </w:p>
        </w:tc>
      </w:tr>
      <w:tr w14:paraId="003E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25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0" w:type="dxa"/>
            <w:vMerge w:val="continue"/>
            <w:tcBorders>
              <w:left w:val="single" w:color="000000" w:sz="4" w:space="0"/>
              <w:right w:val="single" w:color="000000" w:sz="4" w:space="0"/>
            </w:tcBorders>
            <w:shd w:val="clear" w:color="auto" w:fill="FFFFFF"/>
            <w:noWrap/>
            <w:vAlign w:val="center"/>
          </w:tcPr>
          <w:p w14:paraId="7813A0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8C675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DN150</w:t>
            </w:r>
          </w:p>
        </w:tc>
        <w:tc>
          <w:tcPr>
            <w:tcW w:w="7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183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8C1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15</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B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BF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B6DE1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6F1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3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80" w:type="dxa"/>
            <w:vMerge w:val="continue"/>
            <w:tcBorders>
              <w:left w:val="single" w:color="000000" w:sz="4" w:space="0"/>
              <w:right w:val="single" w:color="000000" w:sz="4" w:space="0"/>
            </w:tcBorders>
            <w:shd w:val="clear" w:color="auto" w:fill="FFFFFF"/>
            <w:noWrap/>
            <w:vAlign w:val="center"/>
          </w:tcPr>
          <w:p w14:paraId="379866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4E11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DN200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927B04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19C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5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A1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AA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12EFA0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20C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3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80" w:type="dxa"/>
            <w:vMerge w:val="continue"/>
            <w:tcBorders>
              <w:left w:val="single" w:color="000000" w:sz="4" w:space="0"/>
              <w:right w:val="single" w:color="000000" w:sz="4" w:space="0"/>
            </w:tcBorders>
            <w:shd w:val="clear" w:color="auto" w:fill="FFFFFF"/>
            <w:noWrap/>
            <w:vAlign w:val="center"/>
          </w:tcPr>
          <w:p w14:paraId="701F6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5B3B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DN300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0A25728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8D2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22</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D2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CA0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05C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39FF83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501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jc w:val="center"/>
        </w:trPr>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1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80" w:type="dxa"/>
            <w:vMerge w:val="continue"/>
            <w:tcBorders>
              <w:left w:val="single" w:color="000000" w:sz="4" w:space="0"/>
              <w:bottom w:val="single" w:color="000000" w:sz="4" w:space="0"/>
              <w:right w:val="single" w:color="000000" w:sz="4" w:space="0"/>
            </w:tcBorders>
            <w:shd w:val="clear" w:color="auto" w:fill="FFFFFF"/>
            <w:noWrap/>
            <w:vAlign w:val="center"/>
          </w:tcPr>
          <w:p w14:paraId="3957C2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45348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DN400</w:t>
            </w:r>
          </w:p>
        </w:tc>
        <w:tc>
          <w:tcPr>
            <w:tcW w:w="783" w:type="dxa"/>
            <w:tcBorders>
              <w:top w:val="single" w:color="000000" w:sz="4" w:space="0"/>
              <w:left w:val="single" w:color="auto" w:sz="4" w:space="0"/>
              <w:bottom w:val="single" w:color="000000" w:sz="4" w:space="0"/>
              <w:right w:val="single" w:color="000000" w:sz="4" w:space="0"/>
            </w:tcBorders>
            <w:shd w:val="clear" w:color="auto" w:fill="FFFFFF"/>
            <w:noWrap/>
            <w:vAlign w:val="center"/>
          </w:tcPr>
          <w:p w14:paraId="52F472A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只</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C0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4A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87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C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000" w:type="dxa"/>
            <w:vMerge w:val="continue"/>
            <w:tcBorders>
              <w:left w:val="single" w:color="000000" w:sz="4" w:space="0"/>
              <w:right w:val="single" w:color="000000" w:sz="4" w:space="0"/>
            </w:tcBorders>
            <w:shd w:val="clear" w:color="auto" w:fill="auto"/>
            <w:noWrap/>
            <w:vAlign w:val="center"/>
          </w:tcPr>
          <w:p w14:paraId="0ED90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366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27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4C001">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价（元）</w:t>
            </w:r>
          </w:p>
        </w:tc>
        <w:tc>
          <w:tcPr>
            <w:tcW w:w="721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3D01">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大写：                   小写：</w:t>
            </w:r>
          </w:p>
        </w:tc>
      </w:tr>
      <w:tr w14:paraId="1AB42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1001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5B2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一、供应商的资格要求</w:t>
            </w:r>
          </w:p>
          <w:p w14:paraId="5BBD4474">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1、符合《中华人民共和国政府采购法》第二十二条规定；</w:t>
            </w:r>
          </w:p>
          <w:p w14:paraId="0E358E9A">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2、未被“信用中国”、“中国政府采购网”、“信用江苏”网站列入失信被执行人、重大税收违法案件当事人名单、政府采购严重违法失信行为记录名单；</w:t>
            </w:r>
          </w:p>
          <w:p w14:paraId="27424DF1">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3、对于参加报价的供应</w:t>
            </w:r>
            <w:r>
              <w:rPr>
                <w:rFonts w:hint="eastAsia" w:ascii="宋体" w:hAnsi="宋体" w:eastAsia="宋体" w:cs="宋体"/>
                <w:b/>
                <w:bCs/>
                <w:i w:val="0"/>
                <w:iCs w:val="0"/>
                <w:color w:val="auto"/>
                <w:kern w:val="0"/>
                <w:sz w:val="24"/>
                <w:szCs w:val="24"/>
                <w:u w:val="none"/>
                <w:lang w:val="en-US" w:eastAsia="zh-CN" w:bidi="ar"/>
              </w:rPr>
              <w:t>商，须具有合法的营业执照；</w:t>
            </w:r>
          </w:p>
          <w:p w14:paraId="6A3F04AF">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4、投标</w:t>
            </w:r>
            <w:bookmarkStart w:id="0" w:name="_GoBack"/>
            <w:r>
              <w:rPr>
                <w:rFonts w:hint="eastAsia" w:ascii="宋体" w:hAnsi="宋体" w:eastAsia="宋体" w:cs="宋体"/>
                <w:b/>
                <w:bCs/>
                <w:i w:val="0"/>
                <w:iCs w:val="0"/>
                <w:color w:val="auto"/>
                <w:kern w:val="0"/>
                <w:sz w:val="24"/>
                <w:szCs w:val="24"/>
                <w:highlight w:val="none"/>
                <w:u w:val="none"/>
                <w:lang w:val="en-US" w:eastAsia="zh-CN" w:bidi="ar"/>
              </w:rPr>
              <w:t>人提供投标产品生产厂家的质量管理体系认证证书和环境管理体系认证证书，证书须在有效期内并覆盖本招标产品；</w:t>
            </w:r>
          </w:p>
          <w:p w14:paraId="47D6781E">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5、报价人提供的投标货物具有有效的省级及以上质量检测中心出具的性能检验报告；</w:t>
            </w:r>
          </w:p>
          <w:p w14:paraId="4A968986">
            <w:pPr>
              <w:keepNext w:val="0"/>
              <w:keepLines w:val="0"/>
              <w:widowControl/>
              <w:suppressLineNumbers w:val="0"/>
              <w:spacing w:line="240" w:lineRule="auto"/>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6、投标人近三年（自投标截止时间往前推三年，以合同签订时间为准）承担过与本项目类似的业绩（提供相对应的合同及公告发布之日前有效发票原件扫描件加盖公章）。</w:t>
            </w:r>
          </w:p>
          <w:p w14:paraId="619ADC48">
            <w:pPr>
              <w:pStyle w:val="18"/>
              <w:spacing w:after="0" w:line="240" w:lineRule="auto"/>
              <w:ind w:left="0" w:leftChars="0" w:firstLine="0" w:firstLineChars="0"/>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二、材料标准及要求:</w:t>
            </w:r>
          </w:p>
          <w:p w14:paraId="117555FB">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val="zh-CN"/>
              </w:rPr>
              <w:t>设备技术标准</w:t>
            </w:r>
          </w:p>
          <w:p w14:paraId="2E2E37C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所投的设备必须满足以下国标:</w:t>
            </w:r>
          </w:p>
          <w:p w14:paraId="1A29786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（1）压力试验标准：GB/T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13927-20</w:t>
            </w:r>
            <w:r>
              <w:rPr>
                <w:rFonts w:hint="eastAsia" w:ascii="宋体" w:hAnsi="宋体" w:eastAsia="宋体" w:cs="宋体"/>
                <w:color w:val="auto"/>
                <w:sz w:val="24"/>
                <w:szCs w:val="24"/>
                <w:highlight w:val="none"/>
                <w:lang w:val="en-US" w:eastAsia="zh-CN"/>
              </w:rPr>
              <w:t>22</w:t>
            </w:r>
          </w:p>
          <w:p w14:paraId="38690BD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（2）法兰连接标准：</w:t>
            </w:r>
            <w:r>
              <w:rPr>
                <w:rFonts w:hint="eastAsia" w:ascii="宋体" w:hAnsi="宋体" w:eastAsia="宋体" w:cs="宋体"/>
                <w:strike w:val="0"/>
                <w:dstrike w:val="0"/>
                <w:color w:val="auto"/>
                <w:sz w:val="24"/>
                <w:szCs w:val="24"/>
                <w:highlight w:val="none"/>
                <w:lang w:val="zh-CN"/>
              </w:rPr>
              <w:t>GB/T</w:t>
            </w:r>
            <w:r>
              <w:rPr>
                <w:rFonts w:hint="eastAsia" w:ascii="宋体" w:hAnsi="宋体" w:eastAsia="宋体" w:cs="宋体"/>
                <w:strike w:val="0"/>
                <w:dstrike w:val="0"/>
                <w:color w:val="auto"/>
                <w:sz w:val="24"/>
                <w:szCs w:val="24"/>
                <w:highlight w:val="none"/>
                <w:lang w:val="en-US" w:eastAsia="zh-CN"/>
              </w:rPr>
              <w:t xml:space="preserve"> </w:t>
            </w:r>
            <w:r>
              <w:rPr>
                <w:rFonts w:hint="eastAsia" w:ascii="宋体" w:hAnsi="宋体" w:eastAsia="宋体" w:cs="宋体"/>
                <w:strike w:val="0"/>
                <w:dstrike w:val="0"/>
                <w:color w:val="auto"/>
                <w:sz w:val="24"/>
                <w:szCs w:val="24"/>
                <w:highlight w:val="none"/>
                <w:lang w:val="zh-CN"/>
              </w:rPr>
              <w:t>17241.</w:t>
            </w:r>
            <w:r>
              <w:rPr>
                <w:rFonts w:hint="eastAsia" w:ascii="宋体" w:hAnsi="宋体" w:eastAsia="宋体" w:cs="宋体"/>
                <w:strike w:val="0"/>
                <w:dstrike w:val="0"/>
                <w:color w:val="auto"/>
                <w:sz w:val="24"/>
                <w:szCs w:val="24"/>
                <w:highlight w:val="none"/>
                <w:lang w:val="en-US" w:eastAsia="zh-CN"/>
              </w:rPr>
              <w:t>1</w:t>
            </w:r>
            <w:r>
              <w:rPr>
                <w:rFonts w:hint="eastAsia" w:ascii="宋体" w:hAnsi="宋体" w:eastAsia="宋体" w:cs="宋体"/>
                <w:strike w:val="0"/>
                <w:dstrike w:val="0"/>
                <w:color w:val="auto"/>
                <w:sz w:val="24"/>
                <w:szCs w:val="24"/>
                <w:highlight w:val="none"/>
                <w:lang w:val="zh-CN"/>
              </w:rPr>
              <w:t>-20</w:t>
            </w:r>
            <w:r>
              <w:rPr>
                <w:rFonts w:hint="eastAsia" w:ascii="宋体" w:hAnsi="宋体" w:eastAsia="宋体" w:cs="宋体"/>
                <w:strike w:val="0"/>
                <w:dstrike w:val="0"/>
                <w:color w:val="auto"/>
                <w:sz w:val="24"/>
                <w:szCs w:val="24"/>
                <w:highlight w:val="none"/>
                <w:lang w:val="en-US" w:eastAsia="zh-CN"/>
              </w:rPr>
              <w:t>24</w:t>
            </w:r>
          </w:p>
          <w:p w14:paraId="7F62F4E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（3）球墨铸铁技术条件：GB/T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12227-2005</w:t>
            </w:r>
          </w:p>
          <w:p w14:paraId="79B01DB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（4）通用阀门标志：GB/T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12220-</w:t>
            </w:r>
            <w:r>
              <w:rPr>
                <w:rFonts w:hint="eastAsia" w:ascii="宋体" w:hAnsi="宋体" w:eastAsia="宋体" w:cs="宋体"/>
                <w:color w:val="auto"/>
                <w:sz w:val="24"/>
                <w:szCs w:val="24"/>
                <w:highlight w:val="none"/>
                <w:lang w:val="en-US" w:eastAsia="zh-CN"/>
              </w:rPr>
              <w:t>2015</w:t>
            </w:r>
          </w:p>
          <w:p w14:paraId="5394290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（5）橡胶密封材料规范;HG/T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3091-2000</w:t>
            </w:r>
          </w:p>
          <w:p w14:paraId="0BB89FD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zh-CN"/>
              </w:rPr>
              <w:t>（6）生活饮用水输配水设备及防护材料的安全性评价标准：GB/T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17219-</w:t>
            </w:r>
            <w:r>
              <w:rPr>
                <w:rFonts w:hint="eastAsia" w:ascii="宋体" w:hAnsi="宋体" w:eastAsia="宋体" w:cs="宋体"/>
                <w:color w:val="auto"/>
                <w:sz w:val="24"/>
                <w:szCs w:val="24"/>
                <w:highlight w:val="none"/>
                <w:lang w:val="en-US" w:eastAsia="zh-CN"/>
              </w:rPr>
              <w:t>2025</w:t>
            </w:r>
          </w:p>
          <w:p w14:paraId="09711F80">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技术性能及材质要求</w:t>
            </w:r>
          </w:p>
          <w:p w14:paraId="6532787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lang w:val="zh-CN"/>
              </w:rPr>
              <w:t>工作介质、温度及安装要求</w:t>
            </w:r>
          </w:p>
          <w:p w14:paraId="1A13F05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本次招标的</w:t>
            </w:r>
            <w:r>
              <w:rPr>
                <w:rFonts w:hint="eastAsia" w:ascii="宋体" w:hAnsi="宋体" w:eastAsia="宋体" w:cs="宋体"/>
                <w:b/>
                <w:bCs/>
                <w:color w:val="auto"/>
                <w:kern w:val="0"/>
                <w:sz w:val="24"/>
                <w:szCs w:val="24"/>
                <w:highlight w:val="none"/>
                <w:lang w:val="en-US" w:eastAsia="zh-CN"/>
              </w:rPr>
              <w:t>Y型过滤器</w:t>
            </w:r>
            <w:r>
              <w:rPr>
                <w:rFonts w:hint="eastAsia" w:ascii="宋体" w:hAnsi="宋体" w:eastAsia="宋体" w:cs="宋体"/>
                <w:color w:val="auto"/>
                <w:sz w:val="24"/>
                <w:szCs w:val="24"/>
                <w:highlight w:val="none"/>
                <w:lang w:val="zh-CN"/>
              </w:rPr>
              <w:t>要求公称压力1.0MPa，温度0℃～80℃的自来水或河水。</w:t>
            </w:r>
          </w:p>
          <w:p w14:paraId="604F553A">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lang w:val="zh-CN"/>
              </w:rPr>
              <w:t>阀体、阀盖</w:t>
            </w:r>
          </w:p>
          <w:p w14:paraId="04FF2026">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strike w:val="0"/>
                <w:dstrike w:val="0"/>
                <w:color w:val="auto"/>
                <w:sz w:val="24"/>
                <w:szCs w:val="24"/>
                <w:highlight w:val="none"/>
                <w:lang w:val="zh-CN"/>
              </w:rPr>
              <w:t>★</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color w:val="auto"/>
                <w:sz w:val="24"/>
                <w:szCs w:val="24"/>
                <w:highlight w:val="none"/>
                <w:lang w:val="zh-CN"/>
              </w:rPr>
              <w:t>2.1阀体、阀盖的材质均为球墨铸铁QT450－10或力学性能更高的材料，要符合GB/T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12227</w:t>
            </w:r>
            <w:r>
              <w:rPr>
                <w:rFonts w:hint="eastAsia" w:ascii="宋体" w:hAnsi="宋体" w:eastAsia="宋体" w:cs="宋体"/>
                <w:color w:val="auto"/>
                <w:sz w:val="24"/>
                <w:szCs w:val="24"/>
                <w:highlight w:val="none"/>
                <w:lang w:val="en-US" w:eastAsia="zh-CN"/>
              </w:rPr>
              <w:t>-2005</w:t>
            </w:r>
            <w:r>
              <w:rPr>
                <w:rFonts w:hint="eastAsia" w:ascii="宋体" w:hAnsi="宋体" w:eastAsia="宋体" w:cs="宋体"/>
                <w:color w:val="auto"/>
                <w:sz w:val="24"/>
                <w:szCs w:val="24"/>
                <w:highlight w:val="none"/>
                <w:lang w:val="zh-CN"/>
              </w:rPr>
              <w:t>规定的技术条件。阀体、阀盖要求进行热处理以消除内应力。商标及材质牌号铸在阀体上。</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zh-CN"/>
              </w:rPr>
              <w:t>提供省级</w:t>
            </w:r>
            <w:r>
              <w:rPr>
                <w:rFonts w:hint="eastAsia" w:ascii="宋体" w:hAnsi="宋体" w:eastAsia="宋体" w:cs="宋体"/>
                <w:b/>
                <w:bCs/>
                <w:color w:val="auto"/>
                <w:sz w:val="24"/>
                <w:szCs w:val="24"/>
                <w:highlight w:val="none"/>
                <w:lang w:val="en-US" w:eastAsia="zh-CN"/>
              </w:rPr>
              <w:t>及</w:t>
            </w:r>
            <w:r>
              <w:rPr>
                <w:rFonts w:hint="eastAsia" w:ascii="宋体" w:hAnsi="宋体" w:eastAsia="宋体" w:cs="宋体"/>
                <w:b/>
                <w:bCs/>
                <w:color w:val="auto"/>
                <w:sz w:val="24"/>
                <w:szCs w:val="24"/>
                <w:highlight w:val="none"/>
                <w:lang w:val="zh-CN"/>
              </w:rPr>
              <w:t>以上质量检测机构出具的材质性能检测报告。</w:t>
            </w:r>
          </w:p>
          <w:p w14:paraId="7B78C5B5">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strike w:val="0"/>
                <w:dstrike w:val="0"/>
                <w:color w:val="auto"/>
                <w:sz w:val="24"/>
                <w:szCs w:val="24"/>
                <w:highlight w:val="none"/>
                <w:lang w:val="zh-CN"/>
              </w:rPr>
              <w:t>★</w:t>
            </w:r>
            <w:r>
              <w:rPr>
                <w:rFonts w:hint="eastAsia" w:ascii="宋体" w:hAnsi="宋体" w:eastAsia="宋体" w:cs="宋体"/>
                <w:strike w:val="0"/>
                <w:dstrike w:val="0"/>
                <w:color w:val="auto"/>
                <w:sz w:val="24"/>
                <w:szCs w:val="24"/>
                <w:highlight w:val="none"/>
                <w:lang w:val="en-US" w:eastAsia="zh-CN"/>
              </w:rPr>
              <w:t>2.</w:t>
            </w:r>
            <w:r>
              <w:rPr>
                <w:rFonts w:hint="eastAsia" w:ascii="宋体" w:hAnsi="宋体" w:eastAsia="宋体" w:cs="宋体"/>
                <w:color w:val="auto"/>
                <w:sz w:val="24"/>
                <w:szCs w:val="24"/>
                <w:highlight w:val="none"/>
                <w:lang w:val="zh-CN"/>
              </w:rPr>
              <w:t>2.2滤网应为不锈钢304材质，目数为30~40；滤网的过滤面积不小于1.5倍的阀门公称通径面积，在流速3m/s时水损不大于2M。</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zh-CN"/>
              </w:rPr>
              <w:t>提供省级</w:t>
            </w:r>
            <w:r>
              <w:rPr>
                <w:rFonts w:hint="eastAsia" w:ascii="宋体" w:hAnsi="宋体" w:eastAsia="宋体" w:cs="宋体"/>
                <w:b/>
                <w:bCs/>
                <w:color w:val="auto"/>
                <w:sz w:val="24"/>
                <w:szCs w:val="24"/>
                <w:highlight w:val="none"/>
                <w:lang w:val="en-US" w:eastAsia="zh-CN"/>
              </w:rPr>
              <w:t>及</w:t>
            </w:r>
            <w:r>
              <w:rPr>
                <w:rFonts w:hint="eastAsia" w:ascii="宋体" w:hAnsi="宋体" w:eastAsia="宋体" w:cs="宋体"/>
                <w:b/>
                <w:bCs/>
                <w:color w:val="auto"/>
                <w:sz w:val="24"/>
                <w:szCs w:val="24"/>
                <w:highlight w:val="none"/>
                <w:lang w:val="zh-CN"/>
              </w:rPr>
              <w:t>以上质量检测机构出具的不锈钢304材质性能检测报告。</w:t>
            </w:r>
          </w:p>
          <w:p w14:paraId="768467DB">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2.3阀体应为Y型直流形式，底盖带有排污堵头螺栓，以便在不拆除过滤网即可实现排污。</w:t>
            </w:r>
          </w:p>
          <w:p w14:paraId="04A9E4A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2.4法兰的材质与阀体一致，法兰要与阀体铸为一体,不接受法兰与阀体焊接型式，法兰的连接尺寸要符合</w:t>
            </w:r>
            <w:r>
              <w:rPr>
                <w:rFonts w:hint="eastAsia" w:ascii="宋体" w:hAnsi="宋体" w:eastAsia="宋体" w:cs="宋体"/>
                <w:strike w:val="0"/>
                <w:dstrike w:val="0"/>
                <w:color w:val="auto"/>
                <w:sz w:val="24"/>
                <w:szCs w:val="24"/>
                <w:highlight w:val="none"/>
                <w:lang w:val="zh-CN"/>
              </w:rPr>
              <w:t>GB/T</w:t>
            </w:r>
            <w:r>
              <w:rPr>
                <w:rFonts w:hint="eastAsia" w:ascii="宋体" w:hAnsi="宋体" w:eastAsia="宋体" w:cs="宋体"/>
                <w:strike w:val="0"/>
                <w:dstrike w:val="0"/>
                <w:color w:val="auto"/>
                <w:sz w:val="24"/>
                <w:szCs w:val="24"/>
                <w:highlight w:val="none"/>
                <w:lang w:val="en-US" w:eastAsia="zh-CN"/>
              </w:rPr>
              <w:t xml:space="preserve"> </w:t>
            </w:r>
            <w:r>
              <w:rPr>
                <w:rFonts w:hint="eastAsia" w:ascii="宋体" w:hAnsi="宋体" w:eastAsia="宋体" w:cs="宋体"/>
                <w:strike w:val="0"/>
                <w:dstrike w:val="0"/>
                <w:color w:val="auto"/>
                <w:sz w:val="24"/>
                <w:szCs w:val="24"/>
                <w:highlight w:val="none"/>
                <w:lang w:val="zh-CN"/>
              </w:rPr>
              <w:t>17241.</w:t>
            </w:r>
            <w:r>
              <w:rPr>
                <w:rFonts w:hint="eastAsia" w:ascii="宋体" w:hAnsi="宋体" w:eastAsia="宋体" w:cs="宋体"/>
                <w:strike w:val="0"/>
                <w:dstrike w:val="0"/>
                <w:color w:val="auto"/>
                <w:sz w:val="24"/>
                <w:szCs w:val="24"/>
                <w:highlight w:val="none"/>
                <w:lang w:val="en-US" w:eastAsia="zh-CN"/>
              </w:rPr>
              <w:t>1</w:t>
            </w:r>
            <w:r>
              <w:rPr>
                <w:rFonts w:hint="eastAsia" w:ascii="宋体" w:hAnsi="宋体" w:eastAsia="宋体" w:cs="宋体"/>
                <w:strike w:val="0"/>
                <w:dstrike w:val="0"/>
                <w:color w:val="auto"/>
                <w:sz w:val="24"/>
                <w:szCs w:val="24"/>
                <w:highlight w:val="none"/>
                <w:lang w:val="zh-CN"/>
              </w:rPr>
              <w:t>-20</w:t>
            </w:r>
            <w:r>
              <w:rPr>
                <w:rFonts w:hint="eastAsia" w:ascii="宋体" w:hAnsi="宋体" w:eastAsia="宋体" w:cs="宋体"/>
                <w:strike w:val="0"/>
                <w:dstrike w:val="0"/>
                <w:color w:val="auto"/>
                <w:sz w:val="24"/>
                <w:szCs w:val="24"/>
                <w:highlight w:val="none"/>
                <w:lang w:val="en-US" w:eastAsia="zh-CN"/>
              </w:rPr>
              <w:t>24</w:t>
            </w:r>
            <w:r>
              <w:rPr>
                <w:rFonts w:hint="eastAsia" w:ascii="宋体" w:hAnsi="宋体" w:eastAsia="宋体" w:cs="宋体"/>
                <w:color w:val="auto"/>
                <w:sz w:val="24"/>
                <w:szCs w:val="24"/>
                <w:highlight w:val="none"/>
                <w:lang w:val="zh-CN"/>
              </w:rPr>
              <w:t>的有关规定。</w:t>
            </w:r>
          </w:p>
          <w:p w14:paraId="615A9A8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2.5阀体与阀盖之间的连接可以是法兰式连接。螺栓必须为碳钢镀彩锌材质。</w:t>
            </w:r>
          </w:p>
          <w:p w14:paraId="1FA182E0">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2.6阀体的最小壁厚应保证在1.5倍公称压力的壳体试验下，所有的部件不发生变形。</w:t>
            </w:r>
          </w:p>
          <w:p w14:paraId="785D702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2.7阀体与阀盖的密封橡胶首选三元乙丙橡胶（EPDM），要求符合GB/T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17219-</w:t>
            </w:r>
            <w:r>
              <w:rPr>
                <w:rFonts w:hint="eastAsia" w:ascii="宋体" w:hAnsi="宋体" w:eastAsia="宋体" w:cs="宋体"/>
                <w:color w:val="auto"/>
                <w:sz w:val="24"/>
                <w:szCs w:val="24"/>
                <w:highlight w:val="none"/>
                <w:lang w:val="en-US" w:eastAsia="zh-CN"/>
              </w:rPr>
              <w:t>1998</w:t>
            </w:r>
            <w:r>
              <w:rPr>
                <w:rFonts w:hint="eastAsia" w:ascii="宋体" w:hAnsi="宋体" w:eastAsia="宋体" w:cs="宋体"/>
                <w:color w:val="auto"/>
                <w:sz w:val="24"/>
                <w:szCs w:val="24"/>
                <w:highlight w:val="none"/>
                <w:lang w:val="zh-CN"/>
              </w:rPr>
              <w:t>生活饮用水输配水设备及防护材料的安全性评价标准、几何尺寸精确，密封弹性佳。橡胶采用注胶工艺,整体成型,承诺绝不使用再生胶。</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lang w:val="en-US" w:eastAsia="zh-CN"/>
              </w:rPr>
              <w:t>提供省级及以上级别技术监督部门的整机性能检验报告。</w:t>
            </w:r>
          </w:p>
          <w:p w14:paraId="77F7CF4D">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zh-CN"/>
              </w:rPr>
              <w:t>其他技术要求</w:t>
            </w:r>
          </w:p>
          <w:p w14:paraId="2FFE1A5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lang w:val="zh-CN"/>
              </w:rPr>
              <w:t>运至现场的密封圈不得有任何损坏现象，并且在阀门安装、使用过程中不得有松动，脱落、渗漏现象。</w:t>
            </w:r>
          </w:p>
          <w:p w14:paraId="0646396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bCs/>
                <w:color w:val="000000" w:themeColor="text1"/>
                <w:sz w:val="24"/>
                <w:szCs w:val="24"/>
                <w:highlight w:val="none"/>
                <w:lang w:val="zh-CN" w:eastAsia="zh-CN"/>
                <w14:textFill>
                  <w14:solidFill>
                    <w14:schemeClr w14:val="tx1"/>
                  </w14:solidFill>
                </w14:textFill>
              </w:rPr>
              <w:t>★</w:t>
            </w:r>
            <w:r>
              <w:rPr>
                <w:rFonts w:hint="eastAsia" w:ascii="宋体" w:hAnsi="宋体" w:eastAsia="宋体" w:cs="宋体"/>
                <w:strike w:val="0"/>
                <w:dstrike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2涂层</w:t>
            </w:r>
          </w:p>
          <w:p w14:paraId="6FF71D7C">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防腐前的阀体与阀盖内、外表面至少进行喷砂除锈，达到Sa2.5级；将铸件加热后才进行静电喷涂环氧树脂粉末工艺，最后烘干固化，必须保证涂层厚度均匀、色泽均一，涂层表面要光洁，无流痕；涂层厚度内、外表面不小于0.25MM；阀门外观颜色均采用蓝色。</w:t>
            </w:r>
          </w:p>
          <w:p w14:paraId="28215463">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left"/>
              <w:textAlignment w:val="auto"/>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zh-CN"/>
              </w:rPr>
              <w:t>铭牌与标志</w:t>
            </w:r>
          </w:p>
          <w:p w14:paraId="3CF1345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lang w:val="zh-CN"/>
              </w:rPr>
              <w:t>设备铭牌</w:t>
            </w:r>
          </w:p>
          <w:p w14:paraId="143F5A39">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铭牌应固定在明显的位置。</w:t>
            </w:r>
          </w:p>
          <w:p w14:paraId="5EBB7023">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铭牌内容如下：阀门的型号及规格、工作压力、制造年月、制造厂家名称或厂标。</w:t>
            </w:r>
          </w:p>
          <w:p w14:paraId="68872A3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lang w:val="zh-CN"/>
              </w:rPr>
              <w:t>阀门的标志</w:t>
            </w:r>
          </w:p>
          <w:p w14:paraId="0C25464D">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符合GB/T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12220-</w:t>
            </w:r>
            <w:r>
              <w:rPr>
                <w:rFonts w:hint="eastAsia" w:ascii="宋体" w:hAnsi="宋体" w:eastAsia="宋体" w:cs="宋体"/>
                <w:color w:val="auto"/>
                <w:sz w:val="24"/>
                <w:szCs w:val="24"/>
                <w:highlight w:val="none"/>
                <w:lang w:val="en-US" w:eastAsia="zh-CN"/>
              </w:rPr>
              <w:t>2015</w:t>
            </w:r>
            <w:r>
              <w:rPr>
                <w:rFonts w:hint="eastAsia" w:ascii="宋体" w:hAnsi="宋体" w:eastAsia="宋体" w:cs="宋体"/>
                <w:color w:val="auto"/>
                <w:sz w:val="24"/>
                <w:szCs w:val="24"/>
                <w:highlight w:val="none"/>
                <w:lang w:val="zh-CN"/>
              </w:rPr>
              <w:t>的规定，介质流向的箭头标向要正确，并与阀体整体铸出。</w:t>
            </w:r>
          </w:p>
          <w:p w14:paraId="5DBF7F1F">
            <w:pPr>
              <w:keepNext w:val="0"/>
              <w:keepLines w:val="0"/>
              <w:pageBreakBefore w:val="0"/>
              <w:widowControl/>
              <w:suppressLineNumbers w:val="0"/>
              <w:kinsoku/>
              <w:wordWrap/>
              <w:overflowPunct/>
              <w:topLinePunct w:val="0"/>
              <w:autoSpaceDE/>
              <w:autoSpaceDN/>
              <w:bidi w:val="0"/>
              <w:adjustRightInd/>
              <w:snapToGrid/>
              <w:spacing w:line="240" w:lineRule="auto"/>
              <w:ind w:firstLine="482" w:firstLineChars="20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color w:val="auto"/>
                <w:sz w:val="24"/>
                <w:szCs w:val="24"/>
                <w:highlight w:val="none"/>
                <w:lang w:val="zh-CN" w:eastAsia="zh-CN"/>
              </w:rPr>
              <w:t>注：投标时提供上述要求中标“★”项的证明材料，否则视为未实质响应报价文件要求。</w:t>
            </w:r>
          </w:p>
          <w:p w14:paraId="769645C1">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具体要求以招标文件要求为准。</w:t>
            </w:r>
          </w:p>
          <w:p w14:paraId="03F8354E">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三、本项目招标不接受联合体投标。</w:t>
            </w:r>
          </w:p>
          <w:p w14:paraId="0D3AAB92">
            <w:pPr>
              <w:keepNext w:val="0"/>
              <w:keepLines w:val="0"/>
              <w:widowControl/>
              <w:suppressLineNumbers w:val="0"/>
              <w:spacing w:line="240" w:lineRule="auto"/>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四、本项目参考品牌：优威牌（江苏）、冠龙牌（上海）、KOVI牌（天津国威）、珠华牌（湖南南方株洲）、中核苏阀SUFA牌(苏州）</w:t>
            </w:r>
            <w:r>
              <w:rPr>
                <w:rFonts w:hint="eastAsia" w:ascii="宋体" w:hAnsi="宋体" w:eastAsia="宋体" w:cs="宋体"/>
                <w:b/>
                <w:bCs/>
                <w:i w:val="0"/>
                <w:iCs w:val="0"/>
                <w:color w:val="auto"/>
                <w:kern w:val="0"/>
                <w:sz w:val="24"/>
                <w:szCs w:val="24"/>
                <w:highlight w:val="none"/>
                <w:u w:val="none"/>
                <w:lang w:val="en-US" w:eastAsia="zh-CN" w:bidi="ar"/>
              </w:rPr>
              <w:t>，</w:t>
            </w:r>
            <w:r>
              <w:rPr>
                <w:rFonts w:hint="eastAsia" w:ascii="宋体" w:hAnsi="宋体" w:eastAsia="宋体" w:cs="宋体"/>
                <w:b/>
                <w:bCs/>
                <w:i w:val="0"/>
                <w:iCs w:val="0"/>
                <w:color w:val="000000"/>
                <w:kern w:val="0"/>
                <w:sz w:val="24"/>
                <w:szCs w:val="24"/>
                <w:highlight w:val="none"/>
                <w:u w:val="none"/>
                <w:lang w:val="en-US" w:eastAsia="zh-CN" w:bidi="ar"/>
              </w:rPr>
              <w:t>参加报价的供应商如以参考品牌进行报价的，需提供所投品牌商标证明（若为经销商的，需提供所投品牌的授权委托书及品牌商标证明）；本次参与询价的报价供应商如以参考品牌之外的进行报价，报价产品的技术参数或质量标准不得低于参考品牌的档次，同时报价供应商应当提供拟投货物的技</w:t>
            </w:r>
            <w:bookmarkEnd w:id="0"/>
            <w:r>
              <w:rPr>
                <w:rFonts w:hint="eastAsia" w:ascii="宋体" w:hAnsi="宋体" w:eastAsia="宋体" w:cs="宋体"/>
                <w:b/>
                <w:bCs/>
                <w:i w:val="0"/>
                <w:iCs w:val="0"/>
                <w:color w:val="000000"/>
                <w:kern w:val="0"/>
                <w:sz w:val="24"/>
                <w:szCs w:val="24"/>
                <w:u w:val="none"/>
                <w:lang w:val="en-US" w:eastAsia="zh-CN" w:bidi="ar"/>
              </w:rPr>
              <w:t xml:space="preserve">术资料及相关证明材料复印件并加盖公章与报价文件、资格要求的证明材料，以邮寄方式到达指定接收地址为准（启东市江海中路579号建都大厦2号楼三楼，联系人：俞女士，联系电话：0513-83721688,电子邮箱地址为：872292813@qq.com ）。                                                                                            </w:t>
            </w:r>
          </w:p>
        </w:tc>
      </w:tr>
    </w:tbl>
    <w:p w14:paraId="03EB954C">
      <w:pPr>
        <w:keepNext w:val="0"/>
        <w:keepLines w:val="0"/>
        <w:pageBreakBefore w:val="0"/>
        <w:widowControl w:val="0"/>
        <w:tabs>
          <w:tab w:val="left" w:pos="5325"/>
        </w:tabs>
        <w:kinsoku/>
        <w:wordWrap/>
        <w:overflowPunct/>
        <w:topLinePunct w:val="0"/>
        <w:autoSpaceDE/>
        <w:autoSpaceDN/>
        <w:bidi w:val="0"/>
        <w:adjustRightInd/>
        <w:snapToGrid w:val="0"/>
        <w:spacing w:line="440" w:lineRule="exact"/>
        <w:contextualSpacing/>
        <w:textAlignment w:val="auto"/>
        <w:rPr>
          <w:rFonts w:hint="eastAsia" w:ascii="宋体" w:hAnsi="宋体"/>
          <w:b/>
          <w:color w:val="000000"/>
          <w:sz w:val="28"/>
          <w:szCs w:val="28"/>
        </w:rPr>
      </w:pPr>
    </w:p>
    <w:p w14:paraId="40D2402A">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 xml:space="preserve">报价单位（盖章）：         </w:t>
      </w:r>
    </w:p>
    <w:p w14:paraId="0E194DEF">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eastAsia" w:ascii="宋体" w:hAnsi="宋体"/>
          <w:b/>
          <w:color w:val="000000"/>
          <w:sz w:val="28"/>
          <w:szCs w:val="28"/>
        </w:rPr>
      </w:pPr>
      <w:r>
        <w:rPr>
          <w:rFonts w:hint="eastAsia" w:ascii="宋体" w:hAnsi="宋体"/>
          <w:b/>
          <w:color w:val="000000"/>
          <w:sz w:val="28"/>
          <w:szCs w:val="28"/>
        </w:rPr>
        <w:t>联</w:t>
      </w:r>
      <w:r>
        <w:rPr>
          <w:rFonts w:hint="eastAsia" w:ascii="宋体" w:hAnsi="宋体"/>
          <w:b/>
          <w:color w:val="000000"/>
          <w:sz w:val="28"/>
          <w:szCs w:val="28"/>
          <w:lang w:val="en-US" w:eastAsia="zh-CN"/>
        </w:rPr>
        <w:t xml:space="preserve"> </w:t>
      </w:r>
      <w:r>
        <w:rPr>
          <w:rFonts w:hint="eastAsia" w:ascii="宋体" w:hAnsi="宋体"/>
          <w:b/>
          <w:color w:val="000000"/>
          <w:sz w:val="28"/>
          <w:szCs w:val="28"/>
        </w:rPr>
        <w:t>系</w:t>
      </w:r>
      <w:r>
        <w:rPr>
          <w:rFonts w:hint="eastAsia" w:ascii="宋体" w:hAnsi="宋体"/>
          <w:b/>
          <w:color w:val="000000"/>
          <w:sz w:val="28"/>
          <w:szCs w:val="28"/>
          <w:lang w:val="en-US" w:eastAsia="zh-CN"/>
        </w:rPr>
        <w:t xml:space="preserve"> </w:t>
      </w:r>
      <w:r>
        <w:rPr>
          <w:rFonts w:hint="eastAsia" w:ascii="宋体" w:hAnsi="宋体"/>
          <w:b/>
          <w:color w:val="000000"/>
          <w:sz w:val="28"/>
          <w:szCs w:val="28"/>
        </w:rPr>
        <w:t>人：</w:t>
      </w:r>
    </w:p>
    <w:p w14:paraId="092C7C99">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ascii="宋体" w:hAnsi="宋体" w:eastAsiaTheme="minorEastAsia"/>
          <w:b/>
          <w:color w:val="000000"/>
          <w:sz w:val="28"/>
          <w:szCs w:val="28"/>
          <w:lang w:val="en-US" w:eastAsia="zh-CN"/>
        </w:rPr>
      </w:pPr>
      <w:r>
        <w:rPr>
          <w:rFonts w:hint="eastAsia" w:ascii="宋体" w:hAnsi="宋体"/>
          <w:b/>
          <w:color w:val="000000"/>
          <w:sz w:val="28"/>
          <w:szCs w:val="28"/>
        </w:rPr>
        <w:t xml:space="preserve">联系电话：       </w:t>
      </w:r>
      <w:r>
        <w:rPr>
          <w:rFonts w:hint="eastAsia" w:ascii="宋体" w:hAnsi="宋体"/>
          <w:b/>
          <w:color w:val="000000"/>
          <w:sz w:val="28"/>
          <w:szCs w:val="28"/>
          <w:lang w:val="en-US" w:eastAsia="zh-CN"/>
        </w:rPr>
        <w:t xml:space="preserve">  </w:t>
      </w:r>
    </w:p>
    <w:p w14:paraId="2E99BD8C">
      <w:pPr>
        <w:keepNext w:val="0"/>
        <w:keepLines w:val="0"/>
        <w:pageBreakBefore w:val="0"/>
        <w:widowControl w:val="0"/>
        <w:tabs>
          <w:tab w:val="left" w:pos="5325"/>
        </w:tabs>
        <w:kinsoku/>
        <w:wordWrap/>
        <w:overflowPunct/>
        <w:topLinePunct w:val="0"/>
        <w:autoSpaceDE/>
        <w:autoSpaceDN/>
        <w:bidi w:val="0"/>
        <w:adjustRightInd/>
        <w:snapToGrid w:val="0"/>
        <w:spacing w:line="480" w:lineRule="exact"/>
        <w:contextualSpacing/>
        <w:textAlignment w:val="auto"/>
        <w:rPr>
          <w:rFonts w:hint="default"/>
          <w:lang w:val="en-US" w:eastAsia="zh-CN"/>
        </w:rPr>
      </w:pPr>
      <w:r>
        <w:rPr>
          <w:rFonts w:hint="eastAsia" w:ascii="宋体" w:hAnsi="宋体"/>
          <w:b/>
          <w:color w:val="000000"/>
          <w:sz w:val="28"/>
          <w:szCs w:val="28"/>
        </w:rPr>
        <w:t>报价</w:t>
      </w:r>
      <w:r>
        <w:rPr>
          <w:rFonts w:hint="eastAsia" w:ascii="宋体" w:hAnsi="宋体"/>
          <w:b/>
          <w:color w:val="000000"/>
          <w:sz w:val="28"/>
          <w:szCs w:val="28"/>
          <w:lang w:eastAsia="zh-CN"/>
        </w:rPr>
        <w:t>时间</w:t>
      </w:r>
      <w:r>
        <w:rPr>
          <w:rFonts w:hint="eastAsia" w:ascii="宋体" w:hAnsi="宋体"/>
          <w:b/>
          <w:color w:val="000000"/>
          <w:sz w:val="28"/>
          <w:szCs w:val="28"/>
        </w:rPr>
        <w:t>：</w:t>
      </w:r>
    </w:p>
    <w:sectPr>
      <w:pgSz w:w="11906" w:h="16838"/>
      <w:pgMar w:top="1440" w:right="1080" w:bottom="1318"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284C10"/>
    <w:rsid w:val="013A07FE"/>
    <w:rsid w:val="01524DE4"/>
    <w:rsid w:val="02004145"/>
    <w:rsid w:val="0215722A"/>
    <w:rsid w:val="03EC63FF"/>
    <w:rsid w:val="04167BE0"/>
    <w:rsid w:val="04770389"/>
    <w:rsid w:val="04FE1868"/>
    <w:rsid w:val="055210FB"/>
    <w:rsid w:val="05DD06BF"/>
    <w:rsid w:val="060F014D"/>
    <w:rsid w:val="06C9698C"/>
    <w:rsid w:val="06D3561E"/>
    <w:rsid w:val="06DE411B"/>
    <w:rsid w:val="073C06A5"/>
    <w:rsid w:val="081F710D"/>
    <w:rsid w:val="08593698"/>
    <w:rsid w:val="08767CBA"/>
    <w:rsid w:val="08FF471C"/>
    <w:rsid w:val="09CE1802"/>
    <w:rsid w:val="0ADA1283"/>
    <w:rsid w:val="0B837613"/>
    <w:rsid w:val="0C807FF6"/>
    <w:rsid w:val="0C922E30"/>
    <w:rsid w:val="0D0A78C0"/>
    <w:rsid w:val="0D18108F"/>
    <w:rsid w:val="0D2E723D"/>
    <w:rsid w:val="0D8238FA"/>
    <w:rsid w:val="0D9A7247"/>
    <w:rsid w:val="0EB421D9"/>
    <w:rsid w:val="0EE36B7D"/>
    <w:rsid w:val="0F0243F5"/>
    <w:rsid w:val="0F647E59"/>
    <w:rsid w:val="0F6618B1"/>
    <w:rsid w:val="0FC62580"/>
    <w:rsid w:val="10727C56"/>
    <w:rsid w:val="108154AD"/>
    <w:rsid w:val="11F03528"/>
    <w:rsid w:val="12EA747F"/>
    <w:rsid w:val="13121E77"/>
    <w:rsid w:val="13455F77"/>
    <w:rsid w:val="14AA41AE"/>
    <w:rsid w:val="15767E12"/>
    <w:rsid w:val="15B72A35"/>
    <w:rsid w:val="15BF56EC"/>
    <w:rsid w:val="15C50828"/>
    <w:rsid w:val="15DD5B72"/>
    <w:rsid w:val="183C6614"/>
    <w:rsid w:val="186E7611"/>
    <w:rsid w:val="1A850712"/>
    <w:rsid w:val="1B932687"/>
    <w:rsid w:val="1BCA6B98"/>
    <w:rsid w:val="1BE91714"/>
    <w:rsid w:val="1CAC06B2"/>
    <w:rsid w:val="1DC53ABB"/>
    <w:rsid w:val="1E8B21FB"/>
    <w:rsid w:val="216435EB"/>
    <w:rsid w:val="21B700C7"/>
    <w:rsid w:val="221847B8"/>
    <w:rsid w:val="22543660"/>
    <w:rsid w:val="2262713B"/>
    <w:rsid w:val="22723AE6"/>
    <w:rsid w:val="228D26CE"/>
    <w:rsid w:val="22B10AB2"/>
    <w:rsid w:val="22CA2753"/>
    <w:rsid w:val="240E2A35"/>
    <w:rsid w:val="24BA1822"/>
    <w:rsid w:val="2513335E"/>
    <w:rsid w:val="251A293E"/>
    <w:rsid w:val="257C6C31"/>
    <w:rsid w:val="270B5BBD"/>
    <w:rsid w:val="27B57E67"/>
    <w:rsid w:val="2815563F"/>
    <w:rsid w:val="2940272E"/>
    <w:rsid w:val="2A1D31BA"/>
    <w:rsid w:val="2B54029B"/>
    <w:rsid w:val="2CEF3FB8"/>
    <w:rsid w:val="2ED5212C"/>
    <w:rsid w:val="2F015ABF"/>
    <w:rsid w:val="30552FD2"/>
    <w:rsid w:val="309803CF"/>
    <w:rsid w:val="30C90D87"/>
    <w:rsid w:val="30F33128"/>
    <w:rsid w:val="31C471AB"/>
    <w:rsid w:val="322A22B1"/>
    <w:rsid w:val="32A3368D"/>
    <w:rsid w:val="349F5829"/>
    <w:rsid w:val="36F07953"/>
    <w:rsid w:val="372844BB"/>
    <w:rsid w:val="3885236D"/>
    <w:rsid w:val="391E3890"/>
    <w:rsid w:val="39C40C73"/>
    <w:rsid w:val="39F4311D"/>
    <w:rsid w:val="3AF066C3"/>
    <w:rsid w:val="3BEA51F5"/>
    <w:rsid w:val="3C0733A8"/>
    <w:rsid w:val="3C6A6406"/>
    <w:rsid w:val="3D2C0ADF"/>
    <w:rsid w:val="3E0F1405"/>
    <w:rsid w:val="3E1E176E"/>
    <w:rsid w:val="3E202F15"/>
    <w:rsid w:val="3E9078C4"/>
    <w:rsid w:val="3F512FA9"/>
    <w:rsid w:val="3FD55619"/>
    <w:rsid w:val="404B6C28"/>
    <w:rsid w:val="4173213E"/>
    <w:rsid w:val="420951A2"/>
    <w:rsid w:val="424A7A77"/>
    <w:rsid w:val="428200B9"/>
    <w:rsid w:val="42875CFB"/>
    <w:rsid w:val="42C92294"/>
    <w:rsid w:val="43132246"/>
    <w:rsid w:val="45FA78C3"/>
    <w:rsid w:val="460927E6"/>
    <w:rsid w:val="467F154A"/>
    <w:rsid w:val="46A165C4"/>
    <w:rsid w:val="46B06807"/>
    <w:rsid w:val="47675677"/>
    <w:rsid w:val="48F53072"/>
    <w:rsid w:val="49153299"/>
    <w:rsid w:val="494621F7"/>
    <w:rsid w:val="495A6EFE"/>
    <w:rsid w:val="4B0F33A3"/>
    <w:rsid w:val="4C504DA4"/>
    <w:rsid w:val="4C7F348C"/>
    <w:rsid w:val="4CA44F5B"/>
    <w:rsid w:val="4CF871CD"/>
    <w:rsid w:val="4ECA68D4"/>
    <w:rsid w:val="4F231B40"/>
    <w:rsid w:val="4F25246D"/>
    <w:rsid w:val="50EA7F43"/>
    <w:rsid w:val="50F06B23"/>
    <w:rsid w:val="513973A6"/>
    <w:rsid w:val="51713037"/>
    <w:rsid w:val="51ED6A4B"/>
    <w:rsid w:val="52300D6A"/>
    <w:rsid w:val="52304CA0"/>
    <w:rsid w:val="536F7A4A"/>
    <w:rsid w:val="54F36E09"/>
    <w:rsid w:val="558820D0"/>
    <w:rsid w:val="561548D9"/>
    <w:rsid w:val="57346FE0"/>
    <w:rsid w:val="57F83763"/>
    <w:rsid w:val="58C92E19"/>
    <w:rsid w:val="59AA3524"/>
    <w:rsid w:val="59DB49CF"/>
    <w:rsid w:val="5A3B2D3C"/>
    <w:rsid w:val="5A683FFF"/>
    <w:rsid w:val="5AA769EB"/>
    <w:rsid w:val="5B546ADF"/>
    <w:rsid w:val="5BD13381"/>
    <w:rsid w:val="5C436904"/>
    <w:rsid w:val="5C664E8E"/>
    <w:rsid w:val="5DBF29C4"/>
    <w:rsid w:val="5DDC5CDC"/>
    <w:rsid w:val="5DF00521"/>
    <w:rsid w:val="5E893B85"/>
    <w:rsid w:val="5F5E0F4F"/>
    <w:rsid w:val="5FF76DFD"/>
    <w:rsid w:val="60107EBF"/>
    <w:rsid w:val="60F55697"/>
    <w:rsid w:val="61241E74"/>
    <w:rsid w:val="625D035B"/>
    <w:rsid w:val="62D85246"/>
    <w:rsid w:val="631F5A7F"/>
    <w:rsid w:val="632F17E2"/>
    <w:rsid w:val="635505B7"/>
    <w:rsid w:val="637D3ABD"/>
    <w:rsid w:val="63F819E8"/>
    <w:rsid w:val="641454FD"/>
    <w:rsid w:val="650B263E"/>
    <w:rsid w:val="662752EF"/>
    <w:rsid w:val="66811B16"/>
    <w:rsid w:val="66860EDB"/>
    <w:rsid w:val="66DD5F97"/>
    <w:rsid w:val="6723497B"/>
    <w:rsid w:val="676C60FB"/>
    <w:rsid w:val="68BA0755"/>
    <w:rsid w:val="68E65C61"/>
    <w:rsid w:val="693F2885"/>
    <w:rsid w:val="69E46644"/>
    <w:rsid w:val="6B342BA7"/>
    <w:rsid w:val="6C3C4515"/>
    <w:rsid w:val="6C450EF0"/>
    <w:rsid w:val="6CF54EC6"/>
    <w:rsid w:val="6D842C2A"/>
    <w:rsid w:val="6D983C19"/>
    <w:rsid w:val="6EFC7F8C"/>
    <w:rsid w:val="6F8F0EBD"/>
    <w:rsid w:val="6FB438A3"/>
    <w:rsid w:val="701F75C9"/>
    <w:rsid w:val="703F45D4"/>
    <w:rsid w:val="708F5A33"/>
    <w:rsid w:val="71072C9F"/>
    <w:rsid w:val="71094BE2"/>
    <w:rsid w:val="724D47CD"/>
    <w:rsid w:val="736E263D"/>
    <w:rsid w:val="73F3271F"/>
    <w:rsid w:val="73FC27DC"/>
    <w:rsid w:val="750202C6"/>
    <w:rsid w:val="75323C56"/>
    <w:rsid w:val="755D5634"/>
    <w:rsid w:val="7638442C"/>
    <w:rsid w:val="77471FC0"/>
    <w:rsid w:val="77A450BA"/>
    <w:rsid w:val="786F5C73"/>
    <w:rsid w:val="78937BBC"/>
    <w:rsid w:val="79852FF6"/>
    <w:rsid w:val="79915775"/>
    <w:rsid w:val="79A90D10"/>
    <w:rsid w:val="79CB0C87"/>
    <w:rsid w:val="7AB83901"/>
    <w:rsid w:val="7ACC2155"/>
    <w:rsid w:val="7AEB3E1D"/>
    <w:rsid w:val="7B272834"/>
    <w:rsid w:val="7C156B31"/>
    <w:rsid w:val="7C5E095D"/>
    <w:rsid w:val="7CB80EEC"/>
    <w:rsid w:val="7D105E6B"/>
    <w:rsid w:val="7D1C36F2"/>
    <w:rsid w:val="7D5E0064"/>
    <w:rsid w:val="7D62010B"/>
    <w:rsid w:val="7D7004C3"/>
    <w:rsid w:val="7DB32A41"/>
    <w:rsid w:val="7DD66E82"/>
    <w:rsid w:val="7F0B578D"/>
    <w:rsid w:val="7F131561"/>
    <w:rsid w:val="7FBD5515"/>
    <w:rsid w:val="7FEA60CB"/>
    <w:rsid w:val="7FF802FC"/>
    <w:rsid w:val="7FF80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6"/>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7"/>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38"/>
    <w:autoRedefine/>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39"/>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0"/>
    <w:autoRedefine/>
    <w:qFormat/>
    <w:uiPriority w:val="0"/>
    <w:pPr>
      <w:spacing w:after="120"/>
    </w:pPr>
    <w:rPr>
      <w:rFonts w:ascii="Times New Roman" w:hAnsi="Times New Roman" w:eastAsia="宋体" w:cs="Times New Roman"/>
      <w:kern w:val="0"/>
      <w:sz w:val="24"/>
      <w:szCs w:val="24"/>
    </w:rPr>
  </w:style>
  <w:style w:type="paragraph" w:styleId="9">
    <w:name w:val="Normal Indent"/>
    <w:basedOn w:val="1"/>
    <w:qFormat/>
    <w:uiPriority w:val="0"/>
    <w:pPr>
      <w:ind w:firstLine="420"/>
    </w:pPr>
    <w:rPr>
      <w:szCs w:val="20"/>
    </w:rPr>
  </w:style>
  <w:style w:type="paragraph" w:styleId="10">
    <w:name w:val="Body Text Indent"/>
    <w:basedOn w:val="1"/>
    <w:next w:val="11"/>
    <w:autoRedefine/>
    <w:qFormat/>
    <w:uiPriority w:val="0"/>
    <w:pPr>
      <w:ind w:left="420" w:leftChars="200"/>
    </w:pPr>
  </w:style>
  <w:style w:type="paragraph" w:styleId="11">
    <w:name w:val="envelope return"/>
    <w:basedOn w:val="1"/>
    <w:autoRedefine/>
    <w:qFormat/>
    <w:uiPriority w:val="0"/>
    <w:pPr>
      <w:snapToGrid w:val="0"/>
    </w:pPr>
    <w:rPr>
      <w:rFonts w:ascii="Arial" w:hAnsi="Arial"/>
    </w:rPr>
  </w:style>
  <w:style w:type="paragraph" w:styleId="12">
    <w:name w:val="index 4"/>
    <w:basedOn w:val="1"/>
    <w:next w:val="1"/>
    <w:autoRedefine/>
    <w:unhideWhenUsed/>
    <w:qFormat/>
    <w:uiPriority w:val="99"/>
    <w:pPr>
      <w:ind w:left="600" w:leftChars="600"/>
    </w:pPr>
    <w:rPr>
      <w:rFonts w:ascii="Times New Roman" w:hAnsi="Times New Roman" w:cs="Times New Roman"/>
    </w:rPr>
  </w:style>
  <w:style w:type="paragraph" w:styleId="13">
    <w:name w:val="footer"/>
    <w:basedOn w:val="1"/>
    <w:autoRedefine/>
    <w:semiHidden/>
    <w:unhideWhenUsed/>
    <w:qFormat/>
    <w:uiPriority w:val="99"/>
    <w:pPr>
      <w:tabs>
        <w:tab w:val="center" w:pos="4153"/>
        <w:tab w:val="right" w:pos="8306"/>
      </w:tabs>
      <w:snapToGrid w:val="0"/>
      <w:jc w:val="left"/>
    </w:pPr>
    <w:rPr>
      <w:sz w:val="18"/>
    </w:rPr>
  </w:style>
  <w:style w:type="paragraph" w:styleId="14">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next w:val="16"/>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6">
    <w:name w:val="*正文"/>
    <w:basedOn w:val="1"/>
    <w:autoRedefine/>
    <w:qFormat/>
    <w:uiPriority w:val="0"/>
    <w:rPr>
      <w:rFonts w:ascii="宋体" w:hAnsi="宋体"/>
      <w:kern w:val="0"/>
    </w:rPr>
  </w:style>
  <w:style w:type="paragraph" w:styleId="17">
    <w:name w:val="Body Text First Indent"/>
    <w:basedOn w:val="2"/>
    <w:next w:val="18"/>
    <w:autoRedefine/>
    <w:unhideWhenUsed/>
    <w:qFormat/>
    <w:uiPriority w:val="99"/>
    <w:pPr>
      <w:ind w:firstLine="420" w:firstLineChars="100"/>
    </w:pPr>
  </w:style>
  <w:style w:type="paragraph" w:styleId="18">
    <w:name w:val="Body Text First Indent 2"/>
    <w:basedOn w:val="10"/>
    <w:autoRedefine/>
    <w:qFormat/>
    <w:uiPriority w:val="0"/>
    <w:pPr>
      <w:spacing w:after="120"/>
      <w:ind w:firstLine="420" w:firstLineChars="200"/>
    </w:pPr>
    <w:rPr>
      <w:rFonts w:ascii="Times New Roman" w:hAnsi="Times New Roman"/>
      <w:szCs w:val="20"/>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semiHidden/>
    <w:unhideWhenUsed/>
    <w:qFormat/>
    <w:uiPriority w:val="99"/>
    <w:rPr>
      <w:color w:val="800080"/>
      <w:u w:val="none"/>
    </w:rPr>
  </w:style>
  <w:style w:type="character" w:styleId="24">
    <w:name w:val="HTML Definition"/>
    <w:basedOn w:val="21"/>
    <w:semiHidden/>
    <w:unhideWhenUsed/>
    <w:qFormat/>
    <w:uiPriority w:val="99"/>
  </w:style>
  <w:style w:type="character" w:styleId="25">
    <w:name w:val="HTML Typewriter"/>
    <w:basedOn w:val="21"/>
    <w:semiHidden/>
    <w:unhideWhenUsed/>
    <w:qFormat/>
    <w:uiPriority w:val="99"/>
    <w:rPr>
      <w:rFonts w:ascii="monospace" w:hAnsi="monospace" w:eastAsia="monospace" w:cs="monospace"/>
      <w:sz w:val="20"/>
    </w:rPr>
  </w:style>
  <w:style w:type="character" w:styleId="26">
    <w:name w:val="HTML Acronym"/>
    <w:basedOn w:val="21"/>
    <w:semiHidden/>
    <w:unhideWhenUsed/>
    <w:qFormat/>
    <w:uiPriority w:val="99"/>
  </w:style>
  <w:style w:type="character" w:styleId="27">
    <w:name w:val="HTML Variable"/>
    <w:basedOn w:val="21"/>
    <w:semiHidden/>
    <w:unhideWhenUsed/>
    <w:qFormat/>
    <w:uiPriority w:val="99"/>
  </w:style>
  <w:style w:type="character" w:styleId="28">
    <w:name w:val="Hyperlink"/>
    <w:basedOn w:val="21"/>
    <w:semiHidden/>
    <w:unhideWhenUsed/>
    <w:qFormat/>
    <w:uiPriority w:val="99"/>
    <w:rPr>
      <w:color w:val="0000FF"/>
      <w:u w:val="none"/>
    </w:rPr>
  </w:style>
  <w:style w:type="character" w:styleId="29">
    <w:name w:val="HTML Code"/>
    <w:basedOn w:val="21"/>
    <w:semiHidden/>
    <w:unhideWhenUsed/>
    <w:qFormat/>
    <w:uiPriority w:val="99"/>
    <w:rPr>
      <w:rFonts w:hint="default" w:ascii="monospace" w:hAnsi="monospace" w:eastAsia="monospace" w:cs="monospace"/>
      <w:sz w:val="20"/>
    </w:rPr>
  </w:style>
  <w:style w:type="character" w:styleId="30">
    <w:name w:val="HTML Cite"/>
    <w:basedOn w:val="21"/>
    <w:semiHidden/>
    <w:unhideWhenUsed/>
    <w:qFormat/>
    <w:uiPriority w:val="99"/>
  </w:style>
  <w:style w:type="character" w:styleId="31">
    <w:name w:val="HTML Keyboard"/>
    <w:basedOn w:val="21"/>
    <w:semiHidden/>
    <w:unhideWhenUsed/>
    <w:qFormat/>
    <w:uiPriority w:val="99"/>
    <w:rPr>
      <w:rFonts w:hint="default" w:ascii="monospace" w:hAnsi="monospace" w:eastAsia="monospace" w:cs="monospace"/>
      <w:sz w:val="20"/>
    </w:rPr>
  </w:style>
  <w:style w:type="character" w:styleId="32">
    <w:name w:val="HTML Sample"/>
    <w:basedOn w:val="21"/>
    <w:semiHidden/>
    <w:unhideWhenUsed/>
    <w:qFormat/>
    <w:uiPriority w:val="99"/>
    <w:rPr>
      <w:rFonts w:hint="default" w:ascii="monospace" w:hAnsi="monospace" w:eastAsia="monospace" w:cs="monospace"/>
    </w:rPr>
  </w:style>
  <w:style w:type="paragraph" w:customStyle="1" w:styleId="33">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标题 1 Char"/>
    <w:basedOn w:val="21"/>
    <w:link w:val="3"/>
    <w:autoRedefine/>
    <w:qFormat/>
    <w:uiPriority w:val="9"/>
    <w:rPr>
      <w:b/>
      <w:bCs/>
      <w:kern w:val="44"/>
      <w:sz w:val="44"/>
      <w:szCs w:val="44"/>
    </w:rPr>
  </w:style>
  <w:style w:type="character" w:customStyle="1" w:styleId="35">
    <w:name w:val="标题 2 Char"/>
    <w:basedOn w:val="21"/>
    <w:link w:val="4"/>
    <w:autoRedefine/>
    <w:qFormat/>
    <w:uiPriority w:val="9"/>
    <w:rPr>
      <w:rFonts w:asciiTheme="majorHAnsi" w:hAnsiTheme="majorHAnsi" w:eastAsiaTheme="majorEastAsia" w:cstheme="majorBidi"/>
      <w:b/>
      <w:bCs/>
      <w:sz w:val="32"/>
      <w:szCs w:val="32"/>
    </w:rPr>
  </w:style>
  <w:style w:type="character" w:customStyle="1" w:styleId="36">
    <w:name w:val="标题 3 Char"/>
    <w:basedOn w:val="21"/>
    <w:link w:val="5"/>
    <w:autoRedefine/>
    <w:qFormat/>
    <w:uiPriority w:val="9"/>
    <w:rPr>
      <w:b/>
      <w:bCs/>
      <w:sz w:val="32"/>
      <w:szCs w:val="32"/>
    </w:rPr>
  </w:style>
  <w:style w:type="character" w:customStyle="1" w:styleId="37">
    <w:name w:val="标题 4 Char"/>
    <w:basedOn w:val="21"/>
    <w:link w:val="6"/>
    <w:autoRedefine/>
    <w:qFormat/>
    <w:uiPriority w:val="9"/>
    <w:rPr>
      <w:rFonts w:asciiTheme="majorHAnsi" w:hAnsiTheme="majorHAnsi" w:eastAsiaTheme="majorEastAsia" w:cstheme="majorBidi"/>
      <w:b/>
      <w:bCs/>
      <w:sz w:val="28"/>
      <w:szCs w:val="28"/>
    </w:rPr>
  </w:style>
  <w:style w:type="character" w:customStyle="1" w:styleId="38">
    <w:name w:val="标题 5 Char"/>
    <w:basedOn w:val="21"/>
    <w:link w:val="7"/>
    <w:autoRedefine/>
    <w:qFormat/>
    <w:uiPriority w:val="9"/>
    <w:rPr>
      <w:b/>
      <w:bCs/>
      <w:sz w:val="28"/>
      <w:szCs w:val="28"/>
    </w:rPr>
  </w:style>
  <w:style w:type="character" w:customStyle="1" w:styleId="39">
    <w:name w:val="标题 6 Char"/>
    <w:basedOn w:val="21"/>
    <w:link w:val="8"/>
    <w:autoRedefine/>
    <w:qFormat/>
    <w:uiPriority w:val="9"/>
    <w:rPr>
      <w:rFonts w:asciiTheme="majorHAnsi" w:hAnsiTheme="majorHAnsi" w:eastAsiaTheme="majorEastAsia" w:cstheme="majorBidi"/>
      <w:b/>
      <w:bCs/>
      <w:sz w:val="24"/>
      <w:szCs w:val="24"/>
    </w:rPr>
  </w:style>
  <w:style w:type="character" w:customStyle="1" w:styleId="40">
    <w:name w:val="正文文本 Char"/>
    <w:basedOn w:val="21"/>
    <w:link w:val="2"/>
    <w:autoRedefine/>
    <w:qFormat/>
    <w:uiPriority w:val="0"/>
    <w:rPr>
      <w:rFonts w:ascii="Times New Roman" w:hAnsi="Times New Roman" w:eastAsia="宋体" w:cs="Times New Roman"/>
      <w:kern w:val="0"/>
      <w:sz w:val="24"/>
      <w:szCs w:val="24"/>
    </w:rPr>
  </w:style>
  <w:style w:type="character" w:customStyle="1" w:styleId="41">
    <w:name w:val="NormalCharacter"/>
    <w:autoRedefine/>
    <w:qFormat/>
    <w:uiPriority w:val="99"/>
  </w:style>
  <w:style w:type="character" w:customStyle="1" w:styleId="42">
    <w:name w:val="font21"/>
    <w:basedOn w:val="21"/>
    <w:autoRedefine/>
    <w:qFormat/>
    <w:uiPriority w:val="0"/>
    <w:rPr>
      <w:rFonts w:hint="eastAsia" w:ascii="宋体" w:hAnsi="宋体" w:eastAsia="宋体" w:cs="宋体"/>
      <w:color w:val="000000"/>
      <w:sz w:val="20"/>
      <w:szCs w:val="20"/>
      <w:u w:val="none"/>
    </w:rPr>
  </w:style>
  <w:style w:type="character" w:customStyle="1" w:styleId="43">
    <w:name w:val="font41"/>
    <w:basedOn w:val="21"/>
    <w:qFormat/>
    <w:uiPriority w:val="0"/>
    <w:rPr>
      <w:rFonts w:ascii="Arial" w:hAnsi="Arial" w:cs="Arial"/>
      <w:color w:val="000000"/>
      <w:sz w:val="24"/>
      <w:szCs w:val="24"/>
      <w:u w:val="none"/>
    </w:rPr>
  </w:style>
  <w:style w:type="character" w:customStyle="1" w:styleId="44">
    <w:name w:val="hover"/>
    <w:basedOn w:val="21"/>
    <w:qFormat/>
    <w:uiPriority w:val="0"/>
    <w:rPr>
      <w:color w:val="5FB878"/>
    </w:rPr>
  </w:style>
  <w:style w:type="character" w:customStyle="1" w:styleId="45">
    <w:name w:val="hover1"/>
    <w:basedOn w:val="21"/>
    <w:qFormat/>
    <w:uiPriority w:val="0"/>
    <w:rPr>
      <w:color w:val="5FB878"/>
    </w:rPr>
  </w:style>
  <w:style w:type="character" w:customStyle="1" w:styleId="46">
    <w:name w:val="hover2"/>
    <w:basedOn w:val="21"/>
    <w:qFormat/>
    <w:uiPriority w:val="0"/>
    <w:rPr>
      <w:color w:val="FFFFFF"/>
    </w:rPr>
  </w:style>
  <w:style w:type="character" w:customStyle="1" w:styleId="47">
    <w:name w:val="layui-this"/>
    <w:basedOn w:val="21"/>
    <w:qFormat/>
    <w:uiPriority w:val="0"/>
    <w:rPr>
      <w:bdr w:val="single" w:color="EEEEEE" w:sz="6" w:space="0"/>
      <w:shd w:val="clear" w:fill="FFFFFF"/>
    </w:rPr>
  </w:style>
  <w:style w:type="character" w:customStyle="1" w:styleId="48">
    <w:name w:val="first-child"/>
    <w:basedOn w:val="2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2744</Words>
  <Characters>3099</Characters>
  <Lines>39</Lines>
  <Paragraphs>10</Paragraphs>
  <TotalTime>1</TotalTime>
  <ScaleCrop>false</ScaleCrop>
  <LinksUpToDate>false</LinksUpToDate>
  <CharactersWithSpaces>3255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Stella</cp:lastModifiedBy>
  <cp:lastPrinted>2025-02-20T08:51:00Z</cp:lastPrinted>
  <dcterms:modified xsi:type="dcterms:W3CDTF">2026-03-20T07:09:46Z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5F3B43D7E2D741A38991340ED9378569_13</vt:lpwstr>
  </property>
  <property fmtid="{D5CDD505-2E9C-101B-9397-08002B2CF9AE}" pid="4" name="KSOTemplateDocerSaveRecord">
    <vt:lpwstr>eyJoZGlkIjoiZTNlMmY5YjcxZTRkZjg5N2MyMWI3YzFkZTQ2OTdlZWQiLCJ1c2VySWQiOiI0NTEyNTg0MjYifQ==</vt:lpwstr>
  </property>
</Properties>
</file>