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9F0E6">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启东市自来水厂有限公司钢制双法兰限位伸缩节</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b/>
          <w:spacing w:val="-6"/>
          <w:sz w:val="32"/>
          <w:szCs w:val="32"/>
          <w:lang w:val="en-US" w:eastAsia="zh-CN"/>
        </w:rPr>
        <w:t>2026-2027年度采购项目</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启东市自来水厂有限公司的启东市自来水厂有限公司钢制双法兰限位伸缩节2026-2027年度采购项目即将实施，现就该项目进行市场询价调研。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一、采购需求：</w:t>
      </w:r>
      <w:r>
        <w:rPr>
          <w:rFonts w:hint="eastAsia" w:ascii="宋体" w:hAnsi="宋体" w:eastAsia="宋体" w:cs="宋体"/>
          <w:sz w:val="24"/>
          <w:szCs w:val="24"/>
          <w:lang w:val="en-US" w:eastAsia="zh-CN"/>
        </w:rPr>
        <w:t>详见附件《</w:t>
      </w:r>
      <w:r>
        <w:rPr>
          <w:rFonts w:hint="eastAsia" w:ascii="宋体" w:hAnsi="宋体" w:eastAsia="宋体"/>
          <w:sz w:val="24"/>
          <w:szCs w:val="24"/>
          <w:lang w:val="en-US" w:eastAsia="zh-CN"/>
        </w:rPr>
        <w:t>启东市自来水厂有限公司钢制双法兰限位伸缩节2026-2027年度采购清单</w:t>
      </w:r>
      <w:r>
        <w:rPr>
          <w:rFonts w:hint="eastAsia" w:ascii="宋体" w:hAnsi="宋体" w:eastAsia="宋体" w:cs="宋体"/>
          <w:sz w:val="24"/>
          <w:szCs w:val="24"/>
          <w:lang w:val="en-US" w:eastAsia="zh-CN"/>
        </w:rPr>
        <w:t>》。</w:t>
      </w:r>
    </w:p>
    <w:p w14:paraId="2D1BEE90">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2" w:firstLineChars="200"/>
        <w:jc w:val="both"/>
        <w:textAlignment w:val="auto"/>
        <w:rPr>
          <w:rFonts w:hint="default" w:cs="宋体"/>
          <w:b/>
          <w:bCs/>
          <w:color w:val="000000"/>
          <w:sz w:val="24"/>
          <w:szCs w:val="24"/>
          <w:lang w:val="en-US" w:eastAsia="zh-CN"/>
        </w:rPr>
      </w:pPr>
      <w:r>
        <w:rPr>
          <w:rFonts w:hint="eastAsia" w:cs="宋体"/>
          <w:b/>
          <w:bCs/>
          <w:color w:val="000000"/>
          <w:sz w:val="24"/>
          <w:szCs w:val="24"/>
          <w:lang w:val="en-US" w:eastAsia="zh-CN"/>
        </w:rPr>
        <w:t>二、技术要求</w:t>
      </w:r>
    </w:p>
    <w:p w14:paraId="71AB537A">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82"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kern w:val="2"/>
          <w:sz w:val="24"/>
          <w:szCs w:val="24"/>
          <w:lang w:val="en-US" w:eastAsia="zh-CN" w:bidi="ar"/>
        </w:rPr>
        <w:t>材料标准及要求</w:t>
      </w:r>
    </w:p>
    <w:p w14:paraId="2CA98023">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1、产品制造、安装及检验标准</w:t>
      </w:r>
    </w:p>
    <w:p w14:paraId="6BD8E3F9">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（1）设计标准：GB/T12465-2017《管路补偿接头》</w:t>
      </w:r>
    </w:p>
    <w:p w14:paraId="049E621F">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（2）制造标准：GB/T12220-2015《工业阀门标志》</w:t>
      </w:r>
    </w:p>
    <w:p w14:paraId="4C3AC7F3">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GB/T191-2025《</w:t>
      </w:r>
      <w:r>
        <w:rPr>
          <w:rFonts w:hint="eastAsia" w:ascii="宋体" w:hAnsi="宋体" w:eastAsia="宋体" w:cs="宋体"/>
          <w:b w:val="0"/>
          <w:bCs w:val="0"/>
          <w:sz w:val="24"/>
          <w:szCs w:val="24"/>
          <w:highlight w:val="none"/>
          <w:lang w:val="en-US" w:eastAsia="zh-CN"/>
        </w:rPr>
        <w:fldChar w:fldCharType="begin"/>
      </w:r>
      <w:r>
        <w:rPr>
          <w:rFonts w:hint="eastAsia" w:ascii="宋体" w:hAnsi="宋体" w:eastAsia="宋体" w:cs="宋体"/>
          <w:b w:val="0"/>
          <w:bCs w:val="0"/>
          <w:sz w:val="24"/>
          <w:szCs w:val="24"/>
          <w:highlight w:val="none"/>
          <w:lang w:val="en-US" w:eastAsia="zh-CN"/>
        </w:rPr>
        <w:instrText xml:space="preserve"> HYPERLINK "javascript:void(0)" </w:instrText>
      </w:r>
      <w:r>
        <w:rPr>
          <w:rFonts w:hint="eastAsia" w:ascii="宋体" w:hAnsi="宋体" w:eastAsia="宋体" w:cs="宋体"/>
          <w:b w:val="0"/>
          <w:bCs w:val="0"/>
          <w:sz w:val="24"/>
          <w:szCs w:val="24"/>
          <w:highlight w:val="none"/>
          <w:lang w:val="en-US" w:eastAsia="zh-CN"/>
        </w:rPr>
        <w:fldChar w:fldCharType="separate"/>
      </w:r>
      <w:r>
        <w:rPr>
          <w:rFonts w:hint="default" w:ascii="宋体" w:hAnsi="宋体" w:eastAsia="宋体" w:cs="宋体"/>
          <w:b w:val="0"/>
          <w:bCs w:val="0"/>
          <w:sz w:val="24"/>
          <w:szCs w:val="24"/>
          <w:highlight w:val="none"/>
          <w:lang w:val="en-US" w:eastAsia="zh-CN"/>
        </w:rPr>
        <w:t>包装储运图形符号标志</w:t>
      </w:r>
      <w:r>
        <w:rPr>
          <w:rFonts w:hint="default" w:ascii="宋体" w:hAnsi="宋体" w:eastAsia="宋体" w:cs="宋体"/>
          <w:b w:val="0"/>
          <w:bCs w:val="0"/>
          <w:sz w:val="24"/>
          <w:szCs w:val="24"/>
          <w:highlight w:val="none"/>
          <w:lang w:val="en-US" w:eastAsia="zh-CN"/>
        </w:rPr>
        <w:fldChar w:fldCharType="end"/>
      </w:r>
      <w:r>
        <w:rPr>
          <w:rFonts w:hint="eastAsia" w:ascii="宋体" w:hAnsi="宋体" w:eastAsia="宋体" w:cs="宋体"/>
          <w:b w:val="0"/>
          <w:bCs w:val="0"/>
          <w:sz w:val="24"/>
          <w:szCs w:val="24"/>
          <w:highlight w:val="none"/>
          <w:lang w:val="en-US" w:eastAsia="zh-CN"/>
        </w:rPr>
        <w:t>》</w:t>
      </w:r>
    </w:p>
    <w:p w14:paraId="114A18AF">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GB/T12227-2025《通用阀门球墨铸铁件技术规范》</w:t>
      </w:r>
    </w:p>
    <w:p w14:paraId="0DC45BC7">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JB/T106-2024《阀门的标志和涂装》</w:t>
      </w:r>
    </w:p>
    <w:p w14:paraId="35E1DB42">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（3）试验标准：GB/T12465-2017《管路补偿接头》</w:t>
      </w:r>
    </w:p>
    <w:p w14:paraId="39FB012E">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GB/T13927-2022《工业阀门 压力试验》</w:t>
      </w:r>
    </w:p>
    <w:p w14:paraId="14CDBD9E">
      <w:pPr>
        <w:keepNext w:val="0"/>
        <w:keepLines w:val="0"/>
        <w:pageBreakBefore w:val="0"/>
        <w:numPr>
          <w:ilvl w:val="0"/>
          <w:numId w:val="0"/>
        </w:numPr>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（4）GB/T12221-2025《金属阀门 结构长度》</w:t>
      </w:r>
    </w:p>
    <w:p w14:paraId="69561C30">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（5）连接法兰标准：GB/T17241.1-2024《铸铁管法兰 第一部分：PN系列》</w:t>
      </w:r>
    </w:p>
    <w:p w14:paraId="70C28902">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（6）材料标准：JB/T5300-2024《工业用阀门材料选用指南》</w:t>
      </w:r>
    </w:p>
    <w:p w14:paraId="19EFC830">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GB/T1220-2007《不锈钢棒》</w:t>
      </w:r>
    </w:p>
    <w:p w14:paraId="6CEB7575">
      <w:pPr>
        <w:keepNext w:val="0"/>
        <w:keepLines w:val="0"/>
        <w:pageBreakBefore w:val="0"/>
        <w:kinsoku/>
        <w:wordWrap/>
        <w:overflowPunct/>
        <w:topLinePunct w:val="0"/>
        <w:autoSpaceDN/>
        <w:bidi w:val="0"/>
        <w:adjustRightInd w:val="0"/>
        <w:snapToGrid w:val="0"/>
        <w:spacing w:line="400" w:lineRule="exact"/>
        <w:ind w:left="479" w:leftChars="228" w:firstLine="0" w:firstLineChars="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GB/T</w:t>
      </w:r>
      <w:r>
        <w:rPr>
          <w:rFonts w:hint="eastAsia" w:ascii="宋体" w:hAnsi="宋体" w:eastAsia="宋体" w:cs="宋体"/>
          <w:b w:val="0"/>
          <w:bCs w:val="0"/>
          <w:sz w:val="24"/>
          <w:szCs w:val="24"/>
          <w:highlight w:val="none"/>
          <w:lang w:val="en-US" w:eastAsia="zh-CN"/>
        </w:rPr>
        <w:t xml:space="preserve"> </w:t>
      </w:r>
      <w:r>
        <w:rPr>
          <w:rFonts w:hint="default" w:ascii="宋体" w:hAnsi="宋体" w:eastAsia="宋体" w:cs="宋体"/>
          <w:b w:val="0"/>
          <w:bCs w:val="0"/>
          <w:sz w:val="24"/>
          <w:szCs w:val="24"/>
          <w:highlight w:val="none"/>
          <w:lang w:val="en-US" w:eastAsia="zh-CN"/>
        </w:rPr>
        <w:t>21873-</w:t>
      </w:r>
      <w:r>
        <w:rPr>
          <w:rFonts w:hint="eastAsia" w:ascii="宋体" w:hAnsi="宋体" w:eastAsia="宋体" w:cs="宋体"/>
          <w:b w:val="0"/>
          <w:bCs w:val="0"/>
          <w:sz w:val="24"/>
          <w:szCs w:val="24"/>
          <w:highlight w:val="none"/>
          <w:lang w:val="en-US" w:eastAsia="zh-CN"/>
        </w:rPr>
        <w:t>2025《橡胶密封件给、排水管及污水管道用接口密封圈材料规范》</w:t>
      </w:r>
    </w:p>
    <w:p w14:paraId="7100632F">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GB/T18593-2010《熔融结合环氧粉末涂料的防腐蚀涂装》</w:t>
      </w:r>
    </w:p>
    <w:p w14:paraId="4306579B">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2、双法兰限位伸缩节技术说明</w:t>
      </w:r>
    </w:p>
    <w:p w14:paraId="3F74F6BB">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（1）性能特点</w:t>
      </w:r>
    </w:p>
    <w:p w14:paraId="29ED1178">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伸缩接头能补偿管道一定范围内的位移、错位和挠曲，并可在拆装阀门时提供间隙。限位伸缩接头是在松套伸缩接头原有性能的基础上，增设限位装置，在最大伸缩量处用双螺母锁定。这样就实现管道在允许的伸缩量中可以自由伸缩，一旦超过最大伸缩量，就起到限位作用，有效的确保管道安全运行。</w:t>
      </w:r>
    </w:p>
    <w:p w14:paraId="5206D46E">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设备零件应采用公制，其公制公差符合国家标准GB/T1184-1996《形状和位置公差未注公差值》和GB/T193-2003《普通螺纹直径与螺距系列》，相同部件具有互换性，外观无缺陷，密封性能符合要求。</w:t>
      </w:r>
    </w:p>
    <w:p w14:paraId="0C2B8605">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内、外防腐（除精加工表面和补偿接头的密封座）均采用静电喷涂环氧树脂粉末工艺；涂层厚度不大于 0.1mm，但不小于 0.08mm。喷涂前必须进行喷砂除锈，喷砂除锈应按 SISO55900 标准进行；除锈应达 Sa2.5 级。当设备安装后由于各种原因需要再次喷涂时，供货方须按照需方要求完成现场防腐。</w:t>
      </w:r>
    </w:p>
    <w:p w14:paraId="325348E3">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主要用于蝶阀、闸阀、球阀、截止阀、止回阀等各种管道的连接。</w:t>
      </w:r>
    </w:p>
    <w:p w14:paraId="1B03CEB2">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（2）制造检验标准 </w:t>
      </w:r>
    </w:p>
    <w:p w14:paraId="18D74FF8">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①接头的设计、制造和验收应严格按 GB/T12465-2017《管路补偿接头》进行；铸件应严格按GB/T12227-2025《通用阀门球墨铸铁件技术规范》进行。球化度不得低于 4 级。</w:t>
      </w:r>
    </w:p>
    <w:p w14:paraId="0D3C6C25">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②所有伸缩接头在发货前必须进行工厂检查和试验。供货商于试验前七天通知业主派代表参加试验。</w:t>
      </w:r>
    </w:p>
    <w:p w14:paraId="4F8E7E98">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③同一类型的全部伸缩接头由同一生产厂家提供，同一型号伸缩接头的零部件、易损件能互换。</w:t>
      </w:r>
    </w:p>
    <w:p w14:paraId="25A9B28D">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④伸缩和传力接头的工作压力为 1.0Mpa，其设计制作符合 GB/T12465-2017标准。</w:t>
      </w:r>
    </w:p>
    <w:p w14:paraId="79093A2D">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（3）伸缩接头材质</w:t>
      </w:r>
    </w:p>
    <w:p w14:paraId="666B953E">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本体：QT400-15</w:t>
      </w:r>
    </w:p>
    <w:p w14:paraId="202AA76E">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压盖：QT400-15</w:t>
      </w:r>
    </w:p>
    <w:p w14:paraId="185011FF">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限位法兰短管：Q235B</w:t>
      </w:r>
    </w:p>
    <w:p w14:paraId="2A7398E3">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密封圈：采用三元乙丙</w:t>
      </w:r>
    </w:p>
    <w:p w14:paraId="0C56ED74">
      <w:pPr>
        <w:keepNext w:val="0"/>
        <w:keepLines w:val="0"/>
        <w:pageBreakBefore w:val="0"/>
        <w:kinsoku/>
        <w:wordWrap/>
        <w:overflowPunct/>
        <w:topLinePunct w:val="0"/>
        <w:autoSpaceDN/>
        <w:bidi w:val="0"/>
        <w:adjustRightInd w:val="0"/>
        <w:snapToGrid w:val="0"/>
        <w:spacing w:line="400" w:lineRule="exact"/>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紧固件：碳钢镀锌处理</w:t>
      </w:r>
    </w:p>
    <w:p w14:paraId="1CFEA362">
      <w:pPr>
        <w:keepNext w:val="0"/>
        <w:keepLines w:val="0"/>
        <w:pageBreakBefore w:val="0"/>
        <w:kinsoku/>
        <w:wordWrap/>
        <w:overflowPunct/>
        <w:topLinePunct w:val="0"/>
        <w:autoSpaceDN/>
        <w:bidi w:val="0"/>
        <w:adjustRightInd w:val="0"/>
        <w:snapToGrid w:val="0"/>
        <w:spacing w:line="400" w:lineRule="exact"/>
        <w:ind w:firstLine="482" w:firstLineChars="200"/>
        <w:contextualSpacing/>
        <w:textAlignment w:val="auto"/>
        <w:rPr>
          <w:rFonts w:hint="eastAsia" w:ascii="宋体" w:hAnsi="宋体" w:eastAsia="宋体" w:cs="宋体"/>
          <w:bCs/>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（二）供货周期要求</w:t>
      </w:r>
      <w:r>
        <w:rPr>
          <w:rFonts w:hint="eastAsia" w:ascii="宋体" w:hAnsi="宋体" w:eastAsia="宋体" w:cs="宋体"/>
          <w:bCs/>
          <w:kern w:val="0"/>
          <w:sz w:val="24"/>
          <w:szCs w:val="24"/>
          <w:highlight w:val="none"/>
          <w:lang w:val="en-US" w:eastAsia="zh-CN" w:bidi="ar"/>
        </w:rPr>
        <w:t>：1年。报价单位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14:paraId="3A78C982">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default" w:ascii="宋体" w:hAnsi="宋体" w:eastAsia="宋体" w:cs="宋体"/>
          <w:bCs/>
          <w:kern w:val="0"/>
          <w:sz w:val="24"/>
          <w:szCs w:val="24"/>
          <w:highlight w:val="none"/>
          <w:lang w:val="en-US" w:eastAsia="zh-CN" w:bidi="ar"/>
        </w:rPr>
      </w:pPr>
      <w:r>
        <w:rPr>
          <w:rStyle w:val="29"/>
          <w:rFonts w:hint="eastAsia" w:ascii="宋体" w:hAnsi="宋体" w:eastAsia="宋体" w:cs="宋体"/>
          <w:b/>
          <w:bCs/>
          <w:kern w:val="0"/>
          <w:sz w:val="24"/>
          <w:szCs w:val="24"/>
          <w:highlight w:val="none"/>
          <w:lang w:val="en-US" w:eastAsia="zh-CN"/>
        </w:rPr>
        <w:t>（三）质保要求</w:t>
      </w:r>
      <w:r>
        <w:rPr>
          <w:rStyle w:val="29"/>
          <w:rFonts w:hint="eastAsia" w:ascii="宋体" w:hAnsi="宋体" w:eastAsia="宋体" w:cs="宋体"/>
          <w:kern w:val="0"/>
          <w:sz w:val="24"/>
          <w:szCs w:val="24"/>
          <w:highlight w:val="none"/>
          <w:lang w:val="en-US" w:eastAsia="zh-CN"/>
        </w:rPr>
        <w:t>：</w:t>
      </w:r>
      <w:r>
        <w:rPr>
          <w:rFonts w:hint="eastAsia" w:ascii="宋体" w:hAnsi="宋体" w:eastAsia="宋体" w:cs="宋体"/>
          <w:bCs/>
          <w:kern w:val="0"/>
          <w:sz w:val="24"/>
          <w:szCs w:val="24"/>
          <w:highlight w:val="none"/>
          <w:lang w:val="en-US" w:eastAsia="zh-CN" w:bidi="ar"/>
        </w:rPr>
        <w:t>报价单位报价时须承诺所供货物的免费质保期为</w:t>
      </w:r>
      <w:r>
        <w:rPr>
          <w:rFonts w:hint="eastAsia" w:ascii="宋体" w:hAnsi="宋体" w:eastAsia="宋体" w:cs="宋体"/>
          <w:bCs/>
          <w:kern w:val="0"/>
          <w:sz w:val="24"/>
          <w:szCs w:val="24"/>
          <w:highlight w:val="none"/>
          <w:u w:val="single"/>
          <w:lang w:val="en-US" w:eastAsia="zh-CN" w:bidi="ar"/>
        </w:rPr>
        <w:t xml:space="preserve"> 2 </w:t>
      </w:r>
      <w:r>
        <w:rPr>
          <w:rFonts w:hint="eastAsia" w:ascii="宋体" w:hAnsi="宋体" w:eastAsia="宋体" w:cs="宋体"/>
          <w:bCs/>
          <w:kern w:val="0"/>
          <w:sz w:val="24"/>
          <w:szCs w:val="24"/>
          <w:highlight w:val="none"/>
          <w:lang w:val="en-US" w:eastAsia="zh-CN" w:bidi="ar"/>
        </w:rPr>
        <w:t>年（原厂质保期高于供应商承诺质保期的，按原厂质保期计算。自验收合格报告签字确认日起，开始进入质保期）。</w:t>
      </w:r>
    </w:p>
    <w:p w14:paraId="25E11C8B">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Style w:val="29"/>
          <w:rFonts w:hint="default" w:ascii="宋体" w:hAnsi="宋体" w:eastAsia="宋体" w:cs="宋体"/>
          <w:b/>
          <w:bCs/>
          <w:kern w:val="0"/>
          <w:sz w:val="24"/>
          <w:szCs w:val="24"/>
          <w:highlight w:val="none"/>
          <w:lang w:val="en-US" w:eastAsia="zh-CN"/>
        </w:rPr>
      </w:pPr>
      <w:r>
        <w:rPr>
          <w:rStyle w:val="29"/>
          <w:rFonts w:hint="eastAsia" w:ascii="宋体" w:hAnsi="宋体" w:eastAsia="宋体" w:cs="宋体"/>
          <w:b/>
          <w:bCs/>
          <w:kern w:val="0"/>
          <w:sz w:val="24"/>
          <w:szCs w:val="24"/>
          <w:highlight w:val="none"/>
          <w:lang w:val="en-US" w:eastAsia="zh-CN"/>
        </w:rPr>
        <w:t>三、约定事项</w:t>
      </w:r>
    </w:p>
    <w:p w14:paraId="2BF36291">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kern w:val="0"/>
          <w:sz w:val="24"/>
          <w:szCs w:val="24"/>
          <w:highlight w:val="none"/>
        </w:rPr>
        <w:t>营业执照复印件</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市场询价</w:t>
      </w:r>
      <w:r>
        <w:rPr>
          <w:rStyle w:val="29"/>
          <w:rFonts w:hint="eastAsia" w:ascii="宋体" w:hAnsi="宋体" w:eastAsia="宋体" w:cs="宋体"/>
          <w:kern w:val="0"/>
          <w:sz w:val="24"/>
          <w:szCs w:val="24"/>
          <w:highlight w:val="none"/>
          <w:lang w:val="en-US" w:eastAsia="zh-CN"/>
        </w:rPr>
        <w:t>报价单等（详见第3条）</w:t>
      </w:r>
      <w:r>
        <w:rPr>
          <w:rStyle w:val="29"/>
          <w:rFonts w:hint="eastAsia" w:ascii="宋体" w:hAnsi="宋体" w:eastAsia="宋体" w:cs="宋体"/>
          <w:kern w:val="0"/>
          <w:sz w:val="24"/>
          <w:szCs w:val="24"/>
          <w:highlight w:val="none"/>
        </w:rPr>
        <w:t>于202</w:t>
      </w: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年</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月</w:t>
      </w:r>
      <w:r>
        <w:rPr>
          <w:rStyle w:val="29"/>
          <w:rFonts w:hint="eastAsia" w:ascii="宋体" w:hAnsi="宋体" w:eastAsia="宋体" w:cs="宋体"/>
          <w:kern w:val="0"/>
          <w:sz w:val="24"/>
          <w:szCs w:val="24"/>
          <w:highlight w:val="none"/>
          <w:lang w:val="en-US" w:eastAsia="zh-CN"/>
        </w:rPr>
        <w:t>26</w:t>
      </w:r>
      <w:bookmarkStart w:id="0" w:name="_GoBack"/>
      <w:bookmarkEnd w:id="0"/>
      <w:r>
        <w:rPr>
          <w:rStyle w:val="29"/>
          <w:rFonts w:hint="eastAsia" w:ascii="宋体" w:hAnsi="宋体" w:eastAsia="宋体" w:cs="宋体"/>
          <w:kern w:val="0"/>
          <w:sz w:val="24"/>
          <w:szCs w:val="24"/>
          <w:highlight w:val="none"/>
        </w:rPr>
        <w:t>日17:00前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顾张瑜</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0513-83352336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lang w:val="en-US" w:eastAsia="zh-CN"/>
        </w:rPr>
        <w:t>fgyjszx</w:t>
      </w:r>
      <w:r>
        <w:rPr>
          <w:rFonts w:hint="eastAsia" w:ascii="宋体" w:hAnsi="宋体" w:eastAsia="宋体" w:cs="宋体"/>
          <w:color w:val="auto"/>
          <w:sz w:val="24"/>
          <w:szCs w:val="24"/>
          <w:highlight w:val="none"/>
          <w:u w:val="single"/>
          <w:lang w:val="en-US" w:eastAsia="zh-CN"/>
        </w:rPr>
        <w:t xml:space="preserve">@163.com </w:t>
      </w:r>
      <w:r>
        <w:rPr>
          <w:rFonts w:hint="eastAsia" w:ascii="宋体" w:hAnsi="宋体" w:eastAsia="宋体" w:cs="宋体"/>
          <w:color w:val="auto"/>
          <w:sz w:val="24"/>
          <w:szCs w:val="24"/>
          <w:highlight w:val="none"/>
        </w:rPr>
        <w:t>。</w:t>
      </w:r>
    </w:p>
    <w:p w14:paraId="5E26F5D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报价费用说明：</w:t>
      </w:r>
    </w:p>
    <w:p w14:paraId="60AA971D">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color w:val="auto"/>
          <w:kern w:val="0"/>
          <w:sz w:val="24"/>
          <w:szCs w:val="24"/>
          <w:highlight w:val="none"/>
          <w:lang w:eastAsia="zh-CN"/>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1</w:t>
      </w:r>
      <w:r>
        <w:rPr>
          <w:rStyle w:val="29"/>
          <w:rFonts w:hint="eastAsia" w:ascii="宋体" w:hAnsi="宋体" w:eastAsia="宋体" w:cs="宋体"/>
          <w:color w:val="auto"/>
          <w:kern w:val="0"/>
          <w:sz w:val="24"/>
          <w:szCs w:val="24"/>
          <w:highlight w:val="none"/>
          <w:lang w:eastAsia="zh-CN"/>
        </w:rPr>
        <w:t>）本项目采取固定单价报价，各报价人需考虑投标时每项的分项综合单价报价与分项最高限价相比的下浮率必须一致。</w:t>
      </w:r>
    </w:p>
    <w:p w14:paraId="6BBEF3F7">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color w:val="auto"/>
          <w:kern w:val="0"/>
          <w:sz w:val="24"/>
          <w:szCs w:val="24"/>
          <w:highlight w:val="none"/>
          <w:lang w:val="en-US" w:eastAsia="zh-CN"/>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rPr>
        <w:t>本项目采取固定单价报价，</w:t>
      </w:r>
      <w:r>
        <w:rPr>
          <w:rStyle w:val="29"/>
          <w:rFonts w:hint="eastAsia" w:ascii="宋体" w:hAnsi="宋体" w:eastAsia="宋体" w:cs="宋体"/>
          <w:color w:val="auto"/>
          <w:kern w:val="0"/>
          <w:sz w:val="24"/>
          <w:szCs w:val="24"/>
          <w:highlight w:val="none"/>
          <w:lang w:val="en-US" w:eastAsia="zh-CN"/>
        </w:rPr>
        <w:t>此报价</w:t>
      </w:r>
      <w:r>
        <w:rPr>
          <w:rStyle w:val="29"/>
          <w:rFonts w:hint="eastAsia" w:ascii="宋体" w:hAnsi="宋体" w:eastAsia="宋体" w:cs="宋体"/>
          <w:color w:val="auto"/>
          <w:kern w:val="0"/>
          <w:sz w:val="24"/>
          <w:szCs w:val="24"/>
          <w:highlight w:val="none"/>
        </w:rPr>
        <w:t>包括货物的制作、运输（含上下人力费）、材料检测费、保险、装卸、配件、13%税</w:t>
      </w:r>
      <w:r>
        <w:rPr>
          <w:rStyle w:val="29"/>
          <w:rFonts w:hint="eastAsia" w:ascii="宋体" w:hAnsi="宋体" w:eastAsia="宋体" w:cs="宋体"/>
          <w:color w:val="auto"/>
          <w:kern w:val="0"/>
          <w:sz w:val="24"/>
          <w:szCs w:val="24"/>
          <w:highlight w:val="none"/>
          <w:lang w:val="en-US" w:eastAsia="zh-CN"/>
        </w:rPr>
        <w:t>率</w:t>
      </w:r>
      <w:r>
        <w:rPr>
          <w:rStyle w:val="29"/>
          <w:rFonts w:hint="eastAsia" w:ascii="宋体" w:hAnsi="宋体" w:eastAsia="宋体" w:cs="宋体"/>
          <w:color w:val="auto"/>
          <w:kern w:val="0"/>
          <w:sz w:val="24"/>
          <w:szCs w:val="24"/>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w:t>
      </w:r>
      <w:r>
        <w:rPr>
          <w:rStyle w:val="29"/>
          <w:rFonts w:hint="eastAsia" w:ascii="宋体" w:hAnsi="宋体" w:eastAsia="宋体" w:cs="宋体"/>
          <w:color w:val="auto"/>
          <w:kern w:val="0"/>
          <w:sz w:val="24"/>
          <w:szCs w:val="24"/>
          <w:highlight w:val="none"/>
          <w:lang w:val="en-US" w:eastAsia="zh-CN"/>
        </w:rPr>
        <w:t>报价单位</w:t>
      </w:r>
      <w:r>
        <w:rPr>
          <w:rStyle w:val="29"/>
          <w:rFonts w:hint="eastAsia" w:ascii="宋体" w:hAnsi="宋体" w:eastAsia="宋体" w:cs="宋体"/>
          <w:color w:val="auto"/>
          <w:kern w:val="0"/>
          <w:sz w:val="24"/>
          <w:szCs w:val="24"/>
          <w:highlight w:val="none"/>
        </w:rPr>
        <w:t>在报价时充分考虑各种因素（如税金、运输等各种费用）</w:t>
      </w:r>
      <w:r>
        <w:rPr>
          <w:rStyle w:val="29"/>
          <w:rFonts w:hint="eastAsia" w:ascii="宋体" w:hAnsi="宋体" w:eastAsia="宋体" w:cs="宋体"/>
          <w:color w:val="auto"/>
          <w:kern w:val="0"/>
          <w:sz w:val="24"/>
          <w:szCs w:val="24"/>
          <w:highlight w:val="none"/>
          <w:lang w:val="en-US" w:eastAsia="zh-CN"/>
        </w:rPr>
        <w:t>，合同期内中标单价不作调整</w:t>
      </w:r>
      <w:r>
        <w:rPr>
          <w:rStyle w:val="29"/>
          <w:rFonts w:hint="eastAsia" w:ascii="宋体" w:hAnsi="宋体" w:eastAsia="宋体" w:cs="宋体"/>
          <w:color w:val="auto"/>
          <w:kern w:val="0"/>
          <w:sz w:val="24"/>
          <w:szCs w:val="24"/>
          <w:highlight w:val="none"/>
        </w:rPr>
        <w:t>。</w:t>
      </w:r>
    </w:p>
    <w:p w14:paraId="530588CC">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b/>
          <w:bCs/>
          <w:sz w:val="24"/>
          <w:szCs w:val="24"/>
          <w:highlight w:val="none"/>
          <w:lang w:eastAsia="zh-CN"/>
        </w:rPr>
      </w:pPr>
      <w:r>
        <w:rPr>
          <w:rStyle w:val="29"/>
          <w:rFonts w:hint="eastAsia" w:ascii="宋体" w:hAnsi="宋体" w:eastAsia="宋体" w:cs="宋体"/>
          <w:b/>
          <w:bCs/>
          <w:kern w:val="0"/>
          <w:sz w:val="24"/>
          <w:szCs w:val="24"/>
          <w:highlight w:val="none"/>
          <w:lang w:val="en-US" w:eastAsia="zh-CN"/>
        </w:rPr>
        <w:t>3、</w:t>
      </w:r>
      <w:r>
        <w:rPr>
          <w:rFonts w:hint="eastAsia" w:ascii="宋体" w:hAnsi="宋体" w:eastAsia="宋体" w:cs="宋体"/>
          <w:b/>
          <w:bCs/>
          <w:sz w:val="24"/>
          <w:szCs w:val="24"/>
          <w:highlight w:val="none"/>
        </w:rPr>
        <w:t>报价单位须提供</w:t>
      </w:r>
      <w:r>
        <w:rPr>
          <w:rFonts w:hint="eastAsia" w:ascii="宋体" w:hAnsi="宋体" w:eastAsia="宋体" w:cs="宋体"/>
          <w:b/>
          <w:bCs/>
          <w:sz w:val="24"/>
          <w:szCs w:val="24"/>
          <w:highlight w:val="none"/>
          <w:lang w:eastAsia="zh-CN"/>
        </w:rPr>
        <w:t>：</w:t>
      </w:r>
    </w:p>
    <w:p w14:paraId="7BF74B24">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（1）有效的营业执照复印件（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7997DE9F">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（2）未被“信用中国”“中国政府采购网”“信用江苏”网站列入失信被执行人、重大税收违法案件当事人名单、政府采购严重违法失信行为记录名单（提供网页截图</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14D54120">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）提供投标产品生产厂家的质量管理体系认证证书、环境管理体系认证证书和职业健康安全管理体系认证书复印件（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），证书须在有效期内并覆盖本招标产品；</w:t>
      </w:r>
    </w:p>
    <w:p w14:paraId="6A2ECBB7">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lang w:val="en-US" w:eastAsia="zh-CN"/>
        </w:rPr>
        <w:t>）提供的投标产品具有有效的省级及以上质量检测中心出具的性能检验报告复印件（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235D2D8D">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）投标人近三年（自投标截止时间往前推三年，以合同签订时间为准）承担过与本项目类似的业绩（提供相对应的合同及公告发布之日前有效发票复印件加盖公章）。</w:t>
      </w:r>
    </w:p>
    <w:p w14:paraId="350BF842">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（6）市场询价报价单（格式详见附件）。</w:t>
      </w:r>
    </w:p>
    <w:p w14:paraId="2D4F13EB">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4、拟定支付方式及期限：本次采购量为预估量，最终结算按每次实际采购量计，每次供货完毕并经验收合格后，收到供货方相应的增值税专用发票后30天内支付该批订单的90%货款，剩余10%的货款于合同期结束满2年后，经采购单位认可后一次性结清。若供货方未开具发票，采购方有权拒付相应款项，并不承担相应的逾期付款的违约责任。</w:t>
      </w:r>
    </w:p>
    <w:p w14:paraId="0C9DB1C6">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注:供货方申请付款的程序应符合采购方的财务规定。</w:t>
      </w:r>
      <w:r>
        <w:rPr>
          <w:rStyle w:val="29"/>
          <w:rFonts w:hint="eastAsia" w:ascii="宋体" w:hAnsi="宋体" w:eastAsia="宋体" w:cs="宋体"/>
          <w:kern w:val="0"/>
          <w:sz w:val="24"/>
          <w:szCs w:val="24"/>
          <w:highlight w:val="none"/>
        </w:rPr>
        <w:t xml:space="preserve"> </w:t>
      </w:r>
    </w:p>
    <w:p w14:paraId="40EAAC75">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本次调研询价不接收质疑函，只接收对本项目的建议。</w:t>
      </w:r>
    </w:p>
    <w:p w14:paraId="3DC6873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p>
    <w:p w14:paraId="1F549E5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p>
    <w:p w14:paraId="586EF4E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10B6DC4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bidi="ar-SA"/>
        </w:rPr>
        <w:t>2026年3月20日</w:t>
      </w:r>
    </w:p>
    <w:p w14:paraId="01933F49">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5C319F9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471B6CC3">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3AECFEF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592D01FD">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2AE6C54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7BFB729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73B816D0">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318A43E4">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bidi="ar-SA"/>
        </w:rPr>
        <w:t>附件：</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981"/>
        <w:gridCol w:w="1598"/>
        <w:gridCol w:w="1148"/>
        <w:gridCol w:w="1006"/>
        <w:gridCol w:w="1325"/>
        <w:gridCol w:w="1146"/>
        <w:gridCol w:w="1102"/>
      </w:tblGrid>
      <w:tr w14:paraId="03A1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auto" w:fill="auto"/>
            <w:vAlign w:val="center"/>
          </w:tcPr>
          <w:p w14:paraId="6D7859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启东市自来水厂有限公司钢制双法兰限位伸缩节</w:t>
            </w:r>
          </w:p>
          <w:p w14:paraId="6DFE327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2026-2027年度采购清单</w:t>
            </w:r>
          </w:p>
        </w:tc>
      </w:tr>
      <w:tr w14:paraId="3C67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FFFFFF" w:themeFill="background1"/>
            <w:noWrap/>
            <w:vAlign w:val="center"/>
          </w:tcPr>
          <w:p w14:paraId="6155AB42">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采购项目：启东市自来水厂有限公司钢制双法兰限位伸缩节2026-2027年度采购项目</w:t>
            </w:r>
          </w:p>
        </w:tc>
      </w:tr>
      <w:tr w14:paraId="1A28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50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D753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材料名称</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D41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规格/型号</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AEE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预估数量</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EB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单位</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8CD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单价（元）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649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合价（元）</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237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报价品牌</w:t>
            </w:r>
          </w:p>
        </w:tc>
      </w:tr>
      <w:tr w14:paraId="45E8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C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83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77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0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B8D8">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F769">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9954">
            <w:pPr>
              <w:jc w:val="center"/>
              <w:rPr>
                <w:rFonts w:hint="eastAsia" w:ascii="宋体" w:hAnsi="宋体" w:eastAsia="宋体" w:cs="宋体"/>
                <w:i w:val="0"/>
                <w:iCs w:val="0"/>
                <w:color w:val="000000"/>
                <w:sz w:val="22"/>
                <w:szCs w:val="22"/>
                <w:u w:val="none"/>
              </w:rPr>
            </w:pPr>
          </w:p>
        </w:tc>
      </w:tr>
      <w:tr w14:paraId="1FA3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1B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D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3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A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0723">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FEE">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A294">
            <w:pPr>
              <w:jc w:val="center"/>
              <w:rPr>
                <w:rFonts w:hint="eastAsia" w:ascii="宋体" w:hAnsi="宋体" w:eastAsia="宋体" w:cs="宋体"/>
                <w:i w:val="0"/>
                <w:iCs w:val="0"/>
                <w:color w:val="000000"/>
                <w:sz w:val="22"/>
                <w:szCs w:val="22"/>
                <w:u w:val="none"/>
              </w:rPr>
            </w:pPr>
          </w:p>
        </w:tc>
      </w:tr>
      <w:tr w14:paraId="71FB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F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16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7A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1D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6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D0E8">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D17B">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7F08">
            <w:pPr>
              <w:jc w:val="center"/>
              <w:rPr>
                <w:rFonts w:hint="eastAsia" w:ascii="宋体" w:hAnsi="宋体" w:eastAsia="宋体" w:cs="宋体"/>
                <w:i w:val="0"/>
                <w:iCs w:val="0"/>
                <w:color w:val="000000"/>
                <w:sz w:val="22"/>
                <w:szCs w:val="22"/>
                <w:u w:val="none"/>
              </w:rPr>
            </w:pPr>
          </w:p>
        </w:tc>
      </w:tr>
      <w:tr w14:paraId="642F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6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F3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6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5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B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7302">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9F5C">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BB05">
            <w:pPr>
              <w:jc w:val="center"/>
              <w:rPr>
                <w:rFonts w:hint="eastAsia" w:ascii="宋体" w:hAnsi="宋体" w:eastAsia="宋体" w:cs="宋体"/>
                <w:i w:val="0"/>
                <w:iCs w:val="0"/>
                <w:color w:val="000000"/>
                <w:sz w:val="22"/>
                <w:szCs w:val="22"/>
                <w:u w:val="none"/>
              </w:rPr>
            </w:pPr>
          </w:p>
        </w:tc>
      </w:tr>
      <w:tr w14:paraId="2EB2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9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F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84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5B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B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5234">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2570">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7C5B">
            <w:pPr>
              <w:jc w:val="center"/>
              <w:rPr>
                <w:rFonts w:hint="eastAsia" w:ascii="宋体" w:hAnsi="宋体" w:eastAsia="宋体" w:cs="宋体"/>
                <w:i w:val="0"/>
                <w:iCs w:val="0"/>
                <w:color w:val="000000"/>
                <w:sz w:val="22"/>
                <w:szCs w:val="22"/>
                <w:u w:val="none"/>
              </w:rPr>
            </w:pPr>
          </w:p>
        </w:tc>
      </w:tr>
      <w:tr w14:paraId="6923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6A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B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CD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5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4E8C">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D5B7">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E367">
            <w:pPr>
              <w:jc w:val="center"/>
              <w:rPr>
                <w:rFonts w:hint="eastAsia" w:ascii="宋体" w:hAnsi="宋体" w:eastAsia="宋体" w:cs="宋体"/>
                <w:i w:val="0"/>
                <w:iCs w:val="0"/>
                <w:color w:val="000000"/>
                <w:sz w:val="22"/>
                <w:szCs w:val="22"/>
                <w:u w:val="none"/>
              </w:rPr>
            </w:pPr>
          </w:p>
        </w:tc>
      </w:tr>
      <w:tr w14:paraId="2BE0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6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AC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EE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B6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8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887F">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E4C4">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ADEB">
            <w:pPr>
              <w:jc w:val="center"/>
              <w:rPr>
                <w:rFonts w:hint="eastAsia" w:ascii="宋体" w:hAnsi="宋体" w:eastAsia="宋体" w:cs="宋体"/>
                <w:i w:val="0"/>
                <w:iCs w:val="0"/>
                <w:color w:val="000000"/>
                <w:sz w:val="22"/>
                <w:szCs w:val="22"/>
                <w:u w:val="none"/>
              </w:rPr>
            </w:pPr>
          </w:p>
        </w:tc>
      </w:tr>
      <w:tr w14:paraId="6B81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F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B1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8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9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5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CDBD">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B6DB">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9E17">
            <w:pPr>
              <w:jc w:val="center"/>
              <w:rPr>
                <w:rFonts w:hint="eastAsia" w:ascii="宋体" w:hAnsi="宋体" w:eastAsia="宋体" w:cs="宋体"/>
                <w:i w:val="0"/>
                <w:iCs w:val="0"/>
                <w:color w:val="000000"/>
                <w:sz w:val="22"/>
                <w:szCs w:val="22"/>
                <w:u w:val="none"/>
              </w:rPr>
            </w:pPr>
          </w:p>
        </w:tc>
      </w:tr>
      <w:tr w14:paraId="793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6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01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5F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BF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47FC">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AD83">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55E6">
            <w:pPr>
              <w:jc w:val="center"/>
              <w:rPr>
                <w:rFonts w:hint="eastAsia" w:ascii="宋体" w:hAnsi="宋体" w:eastAsia="宋体" w:cs="宋体"/>
                <w:i w:val="0"/>
                <w:iCs w:val="0"/>
                <w:color w:val="000000"/>
                <w:sz w:val="22"/>
                <w:szCs w:val="22"/>
                <w:u w:val="none"/>
              </w:rPr>
            </w:pPr>
          </w:p>
        </w:tc>
      </w:tr>
      <w:tr w14:paraId="4043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3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3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B0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5E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3EF2">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4056">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C9EB">
            <w:pPr>
              <w:jc w:val="center"/>
              <w:rPr>
                <w:rFonts w:hint="eastAsia" w:ascii="宋体" w:hAnsi="宋体" w:eastAsia="宋体" w:cs="宋体"/>
                <w:i w:val="0"/>
                <w:iCs w:val="0"/>
                <w:color w:val="000000"/>
                <w:sz w:val="22"/>
                <w:szCs w:val="22"/>
                <w:u w:val="none"/>
              </w:rPr>
            </w:pPr>
          </w:p>
        </w:tc>
      </w:tr>
      <w:tr w14:paraId="3662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6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69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27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DN900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1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2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9B8E">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0336">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4517">
            <w:pPr>
              <w:jc w:val="center"/>
              <w:rPr>
                <w:rFonts w:hint="eastAsia" w:ascii="宋体" w:hAnsi="宋体" w:eastAsia="宋体" w:cs="宋体"/>
                <w:i w:val="0"/>
                <w:iCs w:val="0"/>
                <w:color w:val="000000"/>
                <w:sz w:val="22"/>
                <w:szCs w:val="22"/>
                <w:u w:val="none"/>
              </w:rPr>
            </w:pPr>
          </w:p>
        </w:tc>
      </w:tr>
      <w:tr w14:paraId="4A16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2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BA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F8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47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A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D70D">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nil"/>
              <w:right w:val="single" w:color="000000" w:sz="4" w:space="0"/>
            </w:tcBorders>
            <w:shd w:val="clear" w:color="auto" w:fill="auto"/>
            <w:vAlign w:val="center"/>
          </w:tcPr>
          <w:p w14:paraId="72076964">
            <w:pPr>
              <w:jc w:val="cente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566">
            <w:pPr>
              <w:jc w:val="center"/>
              <w:rPr>
                <w:rFonts w:hint="eastAsia" w:ascii="宋体" w:hAnsi="宋体" w:eastAsia="宋体" w:cs="宋体"/>
                <w:i w:val="0"/>
                <w:iCs w:val="0"/>
                <w:color w:val="000000"/>
                <w:sz w:val="22"/>
                <w:szCs w:val="22"/>
                <w:u w:val="none"/>
              </w:rPr>
            </w:pPr>
          </w:p>
        </w:tc>
      </w:tr>
      <w:tr w14:paraId="1722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0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F3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42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DN1200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18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723E">
            <w:pPr>
              <w:jc w:val="center"/>
              <w:rPr>
                <w:rFonts w:hint="eastAsia" w:ascii="宋体" w:hAnsi="宋体" w:eastAsia="宋体" w:cs="宋体"/>
                <w:b/>
                <w:bCs/>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8091">
            <w:pPr>
              <w:jc w:val="center"/>
              <w:rPr>
                <w:rFonts w:hint="eastAsia" w:ascii="宋体" w:hAnsi="宋体" w:eastAsia="宋体" w:cs="宋体"/>
                <w:b/>
                <w:bCs/>
                <w:i w:val="0"/>
                <w:iCs w:val="0"/>
                <w:color w:val="000000"/>
                <w:sz w:val="24"/>
                <w:szCs w:val="24"/>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E0EC">
            <w:pPr>
              <w:jc w:val="center"/>
              <w:rPr>
                <w:rFonts w:hint="eastAsia" w:ascii="宋体" w:hAnsi="宋体" w:eastAsia="宋体" w:cs="宋体"/>
                <w:b/>
                <w:bCs/>
                <w:i w:val="0"/>
                <w:iCs w:val="0"/>
                <w:color w:val="000000"/>
                <w:sz w:val="24"/>
                <w:szCs w:val="24"/>
                <w:u w:val="none"/>
              </w:rPr>
            </w:pPr>
          </w:p>
        </w:tc>
      </w:tr>
      <w:tr w14:paraId="15C9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8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21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双法兰限位伸缩节</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E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DN1400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D1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2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3C5D">
            <w:pPr>
              <w:jc w:val="center"/>
              <w:rPr>
                <w:rFonts w:hint="eastAsia" w:ascii="宋体" w:hAnsi="宋体" w:eastAsia="宋体" w:cs="宋体"/>
                <w:b/>
                <w:bCs/>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731B">
            <w:pPr>
              <w:jc w:val="center"/>
              <w:rPr>
                <w:rFonts w:hint="eastAsia" w:ascii="宋体" w:hAnsi="宋体" w:eastAsia="宋体" w:cs="宋体"/>
                <w:b/>
                <w:bCs/>
                <w:i w:val="0"/>
                <w:iCs w:val="0"/>
                <w:color w:val="000000"/>
                <w:sz w:val="24"/>
                <w:szCs w:val="24"/>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4F15">
            <w:pPr>
              <w:jc w:val="center"/>
              <w:rPr>
                <w:rFonts w:hint="eastAsia" w:ascii="宋体" w:hAnsi="宋体" w:eastAsia="宋体" w:cs="宋体"/>
                <w:b/>
                <w:bCs/>
                <w:i w:val="0"/>
                <w:iCs w:val="0"/>
                <w:color w:val="000000"/>
                <w:sz w:val="24"/>
                <w:szCs w:val="24"/>
                <w:u w:val="none"/>
              </w:rPr>
            </w:pPr>
          </w:p>
        </w:tc>
      </w:tr>
      <w:tr w14:paraId="2A1A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87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88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29030" cy="10795"/>
                  <wp:effectExtent l="0" t="0" r="0" b="0"/>
                  <wp:wrapNone/>
                  <wp:docPr id="6" name="Picture_12"/>
                  <wp:cNvGraphicFramePr/>
                  <a:graphic xmlns:a="http://schemas.openxmlformats.org/drawingml/2006/main">
                    <a:graphicData uri="http://schemas.openxmlformats.org/drawingml/2006/picture">
                      <pic:pic xmlns:pic="http://schemas.openxmlformats.org/drawingml/2006/picture">
                        <pic:nvPicPr>
                          <pic:cNvPr id="6" name="Picture_12"/>
                          <pic:cNvPicPr/>
                        </pic:nvPicPr>
                        <pic:blipFill>
                          <a:blip r:embed="rId5"/>
                          <a:stretch>
                            <a:fillRect/>
                          </a:stretch>
                        </pic:blipFill>
                        <pic:spPr>
                          <a:xfrm>
                            <a:off x="0" y="0"/>
                            <a:ext cx="1129030" cy="1079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86155" cy="0"/>
                  <wp:effectExtent l="0" t="0" r="0" b="0"/>
                  <wp:wrapNone/>
                  <wp:docPr id="5" name="Picture_16"/>
                  <wp:cNvGraphicFramePr/>
                  <a:graphic xmlns:a="http://schemas.openxmlformats.org/drawingml/2006/main">
                    <a:graphicData uri="http://schemas.openxmlformats.org/drawingml/2006/picture">
                      <pic:pic xmlns:pic="http://schemas.openxmlformats.org/drawingml/2006/picture">
                        <pic:nvPicPr>
                          <pic:cNvPr id="5" name="Picture_16"/>
                          <pic:cNvPicPr/>
                        </pic:nvPicPr>
                        <pic:blipFill>
                          <a:blip r:embed="rId6"/>
                          <a:stretch>
                            <a:fillRect/>
                          </a:stretch>
                        </pic:blipFill>
                        <pic:spPr>
                          <a:xfrm>
                            <a:off x="0" y="0"/>
                            <a:ext cx="98615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41070" cy="0"/>
                  <wp:effectExtent l="0" t="0" r="0" b="0"/>
                  <wp:wrapNone/>
                  <wp:docPr id="2" name="Picture_17"/>
                  <wp:cNvGraphicFramePr/>
                  <a:graphic xmlns:a="http://schemas.openxmlformats.org/drawingml/2006/main">
                    <a:graphicData uri="http://schemas.openxmlformats.org/drawingml/2006/picture">
                      <pic:pic xmlns:pic="http://schemas.openxmlformats.org/drawingml/2006/picture">
                        <pic:nvPicPr>
                          <pic:cNvPr id="2" name="Picture_17"/>
                          <pic:cNvPicPr/>
                        </pic:nvPicPr>
                        <pic:blipFill>
                          <a:blip r:embed="rId6"/>
                          <a:stretch>
                            <a:fillRect/>
                          </a:stretch>
                        </pic:blipFill>
                        <pic:spPr>
                          <a:xfrm>
                            <a:off x="0" y="0"/>
                            <a:ext cx="94107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79830" cy="0"/>
                  <wp:effectExtent l="0" t="0" r="0" b="0"/>
                  <wp:wrapNone/>
                  <wp:docPr id="12" name="图片_45"/>
                  <wp:cNvGraphicFramePr/>
                  <a:graphic xmlns:a="http://schemas.openxmlformats.org/drawingml/2006/main">
                    <a:graphicData uri="http://schemas.openxmlformats.org/drawingml/2006/picture">
                      <pic:pic xmlns:pic="http://schemas.openxmlformats.org/drawingml/2006/picture">
                        <pic:nvPicPr>
                          <pic:cNvPr id="12" name="图片_45"/>
                          <pic:cNvPicPr/>
                        </pic:nvPicPr>
                        <pic:blipFill>
                          <a:blip r:embed="rId6"/>
                          <a:stretch>
                            <a:fillRect/>
                          </a:stretch>
                        </pic:blipFill>
                        <pic:spPr>
                          <a:xfrm>
                            <a:off x="0" y="0"/>
                            <a:ext cx="117983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79830" cy="0"/>
                  <wp:effectExtent l="0" t="0" r="0" b="0"/>
                  <wp:wrapNone/>
                  <wp:docPr id="10" name="图片_35"/>
                  <wp:cNvGraphicFramePr/>
                  <a:graphic xmlns:a="http://schemas.openxmlformats.org/drawingml/2006/main">
                    <a:graphicData uri="http://schemas.openxmlformats.org/drawingml/2006/picture">
                      <pic:pic xmlns:pic="http://schemas.openxmlformats.org/drawingml/2006/picture">
                        <pic:nvPicPr>
                          <pic:cNvPr id="10" name="图片_35"/>
                          <pic:cNvPicPr/>
                        </pic:nvPicPr>
                        <pic:blipFill>
                          <a:blip r:embed="rId6"/>
                          <a:stretch>
                            <a:fillRect/>
                          </a:stretch>
                        </pic:blipFill>
                        <pic:spPr>
                          <a:xfrm>
                            <a:off x="0" y="0"/>
                            <a:ext cx="117983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22045" cy="0"/>
                  <wp:effectExtent l="0" t="0" r="0" b="0"/>
                  <wp:wrapNone/>
                  <wp:docPr id="8" name="Picture_8"/>
                  <wp:cNvGraphicFramePr/>
                  <a:graphic xmlns:a="http://schemas.openxmlformats.org/drawingml/2006/main">
                    <a:graphicData uri="http://schemas.openxmlformats.org/drawingml/2006/picture">
                      <pic:pic xmlns:pic="http://schemas.openxmlformats.org/drawingml/2006/picture">
                        <pic:nvPicPr>
                          <pic:cNvPr id="8" name="Picture_8"/>
                          <pic:cNvPicPr/>
                        </pic:nvPicPr>
                        <pic:blipFill>
                          <a:blip r:embed="rId6"/>
                          <a:stretch>
                            <a:fillRect/>
                          </a:stretch>
                        </pic:blipFill>
                        <pic:spPr>
                          <a:xfrm>
                            <a:off x="0" y="0"/>
                            <a:ext cx="112204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831850" cy="0"/>
                  <wp:effectExtent l="0" t="0" r="0" b="0"/>
                  <wp:wrapNone/>
                  <wp:docPr id="1" name="Picture_10"/>
                  <wp:cNvGraphicFramePr/>
                  <a:graphic xmlns:a="http://schemas.openxmlformats.org/drawingml/2006/main">
                    <a:graphicData uri="http://schemas.openxmlformats.org/drawingml/2006/picture">
                      <pic:pic xmlns:pic="http://schemas.openxmlformats.org/drawingml/2006/picture">
                        <pic:nvPicPr>
                          <pic:cNvPr id="1" name="Picture_10"/>
                          <pic:cNvPicPr/>
                        </pic:nvPicPr>
                        <pic:blipFill>
                          <a:blip r:embed="rId6"/>
                          <a:stretch>
                            <a:fillRect/>
                          </a:stretch>
                        </pic:blipFill>
                        <pic:spPr>
                          <a:xfrm>
                            <a:off x="0" y="0"/>
                            <a:ext cx="83185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33450" cy="0"/>
                  <wp:effectExtent l="0" t="0" r="0" b="0"/>
                  <wp:wrapNone/>
                  <wp:docPr id="3" name="Picture_16_SpCnt_1"/>
                  <wp:cNvGraphicFramePr/>
                  <a:graphic xmlns:a="http://schemas.openxmlformats.org/drawingml/2006/main">
                    <a:graphicData uri="http://schemas.openxmlformats.org/drawingml/2006/picture">
                      <pic:pic xmlns:pic="http://schemas.openxmlformats.org/drawingml/2006/picture">
                        <pic:nvPicPr>
                          <pic:cNvPr id="3" name="Picture_16_SpCnt_1"/>
                          <pic:cNvPicPr/>
                        </pic:nvPicPr>
                        <pic:blipFill>
                          <a:blip r:embed="rId6"/>
                          <a:stretch>
                            <a:fillRect/>
                          </a:stretch>
                        </pic:blipFill>
                        <pic:spPr>
                          <a:xfrm>
                            <a:off x="0" y="0"/>
                            <a:ext cx="93345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782320" cy="0"/>
                  <wp:effectExtent l="0" t="0" r="0" b="0"/>
                  <wp:wrapNone/>
                  <wp:docPr id="4" name="Picture_21"/>
                  <wp:cNvGraphicFramePr/>
                  <a:graphic xmlns:a="http://schemas.openxmlformats.org/drawingml/2006/main">
                    <a:graphicData uri="http://schemas.openxmlformats.org/drawingml/2006/picture">
                      <pic:pic xmlns:pic="http://schemas.openxmlformats.org/drawingml/2006/picture">
                        <pic:nvPicPr>
                          <pic:cNvPr id="4" name="Picture_21"/>
                          <pic:cNvPicPr/>
                        </pic:nvPicPr>
                        <pic:blipFill>
                          <a:blip r:embed="rId6"/>
                          <a:stretch>
                            <a:fillRect/>
                          </a:stretch>
                        </pic:blipFill>
                        <pic:spPr>
                          <a:xfrm>
                            <a:off x="0" y="0"/>
                            <a:ext cx="78232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65200" cy="0"/>
                  <wp:effectExtent l="0" t="0" r="0" b="0"/>
                  <wp:wrapNone/>
                  <wp:docPr id="9" name="Picture_23"/>
                  <wp:cNvGraphicFramePr/>
                  <a:graphic xmlns:a="http://schemas.openxmlformats.org/drawingml/2006/main">
                    <a:graphicData uri="http://schemas.openxmlformats.org/drawingml/2006/picture">
                      <pic:pic xmlns:pic="http://schemas.openxmlformats.org/drawingml/2006/picture">
                        <pic:nvPicPr>
                          <pic:cNvPr id="9" name="Picture_23"/>
                          <pic:cNvPicPr/>
                        </pic:nvPicPr>
                        <pic:blipFill>
                          <a:blip r:embed="rId6"/>
                          <a:stretch>
                            <a:fillRect/>
                          </a:stretch>
                        </pic:blipFill>
                        <pic:spPr>
                          <a:xfrm>
                            <a:off x="0" y="0"/>
                            <a:ext cx="96520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53135" cy="0"/>
                  <wp:effectExtent l="0" t="0" r="0" b="0"/>
                  <wp:wrapNone/>
                  <wp:docPr id="7" name="Picture_5"/>
                  <wp:cNvGraphicFramePr/>
                  <a:graphic xmlns:a="http://schemas.openxmlformats.org/drawingml/2006/main">
                    <a:graphicData uri="http://schemas.openxmlformats.org/drawingml/2006/picture">
                      <pic:pic xmlns:pic="http://schemas.openxmlformats.org/drawingml/2006/picture">
                        <pic:nvPicPr>
                          <pic:cNvPr id="7" name="Picture_5"/>
                          <pic:cNvPicPr/>
                        </pic:nvPicPr>
                        <pic:blipFill>
                          <a:blip r:embed="rId6"/>
                          <a:stretch>
                            <a:fillRect/>
                          </a:stretch>
                        </pic:blipFill>
                        <pic:spPr>
                          <a:xfrm>
                            <a:off x="0" y="0"/>
                            <a:ext cx="95313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635000" cy="0"/>
                  <wp:effectExtent l="0" t="0" r="0" b="0"/>
                  <wp:wrapNone/>
                  <wp:docPr id="11" name="Picture_17_SpCnt_1"/>
                  <wp:cNvGraphicFramePr/>
                  <a:graphic xmlns:a="http://schemas.openxmlformats.org/drawingml/2006/main">
                    <a:graphicData uri="http://schemas.openxmlformats.org/drawingml/2006/picture">
                      <pic:pic xmlns:pic="http://schemas.openxmlformats.org/drawingml/2006/picture">
                        <pic:nvPicPr>
                          <pic:cNvPr id="11" name="Picture_17_SpCnt_1"/>
                          <pic:cNvPicPr/>
                        </pic:nvPicPr>
                        <pic:blipFill>
                          <a:blip r:embed="rId6"/>
                          <a:stretch>
                            <a:fillRect/>
                          </a:stretch>
                        </pic:blipFill>
                        <pic:spPr>
                          <a:xfrm>
                            <a:off x="0" y="0"/>
                            <a:ext cx="63500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bidi="ar"/>
              </w:rPr>
              <w:t>合计（元）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98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44D">
            <w:pPr>
              <w:jc w:val="center"/>
              <w:rPr>
                <w:rFonts w:hint="eastAsia" w:ascii="宋体" w:hAnsi="宋体" w:eastAsia="宋体" w:cs="宋体"/>
                <w:b/>
                <w:bCs/>
                <w:i w:val="0"/>
                <w:iCs w:val="0"/>
                <w:color w:val="000000"/>
                <w:sz w:val="24"/>
                <w:szCs w:val="24"/>
                <w:u w:val="none"/>
              </w:rPr>
            </w:pPr>
          </w:p>
        </w:tc>
      </w:tr>
      <w:tr w14:paraId="6384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071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注：本次采购项目使用的参考品牌：冠龙牌（上海）、速通牌（无锡）、KOVI牌（天津）、通科牌（兴化）、中核苏阀SUFA牌（苏州）；参加报价的供应商如以参考品牌进行报价的，需提供所投品牌商标证明（若为经销商的，需提供所投品牌的授权委托书及品牌商标证明）； 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汇龙镇万豪花园29幢别墅，联系人：顾张瑜，联系电话：0513-83352336）。 </w:t>
            </w:r>
          </w:p>
        </w:tc>
      </w:tr>
      <w:tr w14:paraId="38C6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4B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报价供应商（盖章）：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报价时间：    年   月   日</w:t>
            </w:r>
          </w:p>
        </w:tc>
      </w:tr>
    </w:tbl>
    <w:p w14:paraId="04D71096">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default" w:ascii="宋体" w:hAnsi="宋体" w:eastAsia="宋体" w:cs="宋体"/>
          <w:kern w:val="0"/>
          <w:sz w:val="24"/>
          <w:szCs w:val="24"/>
          <w:highlight w:val="none"/>
          <w:lang w:val="en-US" w:eastAsia="zh-CN" w:bidi="ar-SA"/>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BF0E19"/>
    <w:rsid w:val="00C51756"/>
    <w:rsid w:val="00CA31DF"/>
    <w:rsid w:val="01203FAE"/>
    <w:rsid w:val="013A07FE"/>
    <w:rsid w:val="01F571E8"/>
    <w:rsid w:val="02004145"/>
    <w:rsid w:val="0215722A"/>
    <w:rsid w:val="021708AC"/>
    <w:rsid w:val="0264611C"/>
    <w:rsid w:val="02783976"/>
    <w:rsid w:val="02ED1C6E"/>
    <w:rsid w:val="03237D85"/>
    <w:rsid w:val="03EC63FF"/>
    <w:rsid w:val="04167BE0"/>
    <w:rsid w:val="041C0406"/>
    <w:rsid w:val="049774B8"/>
    <w:rsid w:val="04A647CA"/>
    <w:rsid w:val="04D70E27"/>
    <w:rsid w:val="04FE1868"/>
    <w:rsid w:val="053E4A03"/>
    <w:rsid w:val="055210FB"/>
    <w:rsid w:val="060F014D"/>
    <w:rsid w:val="064D5921"/>
    <w:rsid w:val="066F6FA2"/>
    <w:rsid w:val="06C9698C"/>
    <w:rsid w:val="06DE411B"/>
    <w:rsid w:val="081F710D"/>
    <w:rsid w:val="08767CBA"/>
    <w:rsid w:val="08EC0C19"/>
    <w:rsid w:val="08FA6E92"/>
    <w:rsid w:val="091B5A29"/>
    <w:rsid w:val="094445B2"/>
    <w:rsid w:val="0978425B"/>
    <w:rsid w:val="09813405"/>
    <w:rsid w:val="09CE1802"/>
    <w:rsid w:val="0ADA1283"/>
    <w:rsid w:val="0B837613"/>
    <w:rsid w:val="0B907F82"/>
    <w:rsid w:val="0BD51E39"/>
    <w:rsid w:val="0BE635A6"/>
    <w:rsid w:val="0C807FF6"/>
    <w:rsid w:val="0D18108F"/>
    <w:rsid w:val="0D645222"/>
    <w:rsid w:val="0D9A7247"/>
    <w:rsid w:val="0E377BE4"/>
    <w:rsid w:val="0EE36B7D"/>
    <w:rsid w:val="0F0243F5"/>
    <w:rsid w:val="0FBC1346"/>
    <w:rsid w:val="10545A22"/>
    <w:rsid w:val="108154AD"/>
    <w:rsid w:val="10A42315"/>
    <w:rsid w:val="10D80401"/>
    <w:rsid w:val="11074842"/>
    <w:rsid w:val="114710E3"/>
    <w:rsid w:val="1158509E"/>
    <w:rsid w:val="11627CCB"/>
    <w:rsid w:val="119C142F"/>
    <w:rsid w:val="11B1134F"/>
    <w:rsid w:val="123553DF"/>
    <w:rsid w:val="12ED7A68"/>
    <w:rsid w:val="12F62DC0"/>
    <w:rsid w:val="13035AF1"/>
    <w:rsid w:val="13121E77"/>
    <w:rsid w:val="13455F77"/>
    <w:rsid w:val="136C3083"/>
    <w:rsid w:val="139D323C"/>
    <w:rsid w:val="14C14ACF"/>
    <w:rsid w:val="14D24991"/>
    <w:rsid w:val="14F72E20"/>
    <w:rsid w:val="15B72A35"/>
    <w:rsid w:val="15C50828"/>
    <w:rsid w:val="17BB0135"/>
    <w:rsid w:val="18DA6CE0"/>
    <w:rsid w:val="18EB2C9C"/>
    <w:rsid w:val="19267830"/>
    <w:rsid w:val="1AED5BB7"/>
    <w:rsid w:val="1AFA0F74"/>
    <w:rsid w:val="1B0210CF"/>
    <w:rsid w:val="1B3E3557"/>
    <w:rsid w:val="1B542D7A"/>
    <w:rsid w:val="1B932687"/>
    <w:rsid w:val="1BCA6B98"/>
    <w:rsid w:val="1C4F709D"/>
    <w:rsid w:val="1CAC06B2"/>
    <w:rsid w:val="1CE41EDC"/>
    <w:rsid w:val="1E3B3D7D"/>
    <w:rsid w:val="1E652BA8"/>
    <w:rsid w:val="1E6C03DB"/>
    <w:rsid w:val="1E8B21FB"/>
    <w:rsid w:val="1F642E60"/>
    <w:rsid w:val="1FD71884"/>
    <w:rsid w:val="200F7270"/>
    <w:rsid w:val="20B761AC"/>
    <w:rsid w:val="214967B1"/>
    <w:rsid w:val="219F63D1"/>
    <w:rsid w:val="2262713B"/>
    <w:rsid w:val="228D26CE"/>
    <w:rsid w:val="22FB3ADB"/>
    <w:rsid w:val="23A777BF"/>
    <w:rsid w:val="240E2A35"/>
    <w:rsid w:val="24194B61"/>
    <w:rsid w:val="25E66CC5"/>
    <w:rsid w:val="25FB4BE7"/>
    <w:rsid w:val="266A16A4"/>
    <w:rsid w:val="270B5BBD"/>
    <w:rsid w:val="277B51EB"/>
    <w:rsid w:val="281423EE"/>
    <w:rsid w:val="289D748C"/>
    <w:rsid w:val="2940272E"/>
    <w:rsid w:val="2940493E"/>
    <w:rsid w:val="29802F8C"/>
    <w:rsid w:val="2A924D25"/>
    <w:rsid w:val="2B54029B"/>
    <w:rsid w:val="2B5534F0"/>
    <w:rsid w:val="2CC66F08"/>
    <w:rsid w:val="2CEF3FB8"/>
    <w:rsid w:val="2D240A4D"/>
    <w:rsid w:val="2D7E3C87"/>
    <w:rsid w:val="2DA63E50"/>
    <w:rsid w:val="2E52196D"/>
    <w:rsid w:val="2ED5212C"/>
    <w:rsid w:val="2ED81174"/>
    <w:rsid w:val="2F4D3614"/>
    <w:rsid w:val="2F566C69"/>
    <w:rsid w:val="2FB90FA6"/>
    <w:rsid w:val="300761B5"/>
    <w:rsid w:val="308710A4"/>
    <w:rsid w:val="30C90D87"/>
    <w:rsid w:val="30F33128"/>
    <w:rsid w:val="312C5B19"/>
    <w:rsid w:val="322A22B1"/>
    <w:rsid w:val="32AD0A52"/>
    <w:rsid w:val="32EE540A"/>
    <w:rsid w:val="342D4B90"/>
    <w:rsid w:val="34321327"/>
    <w:rsid w:val="34C000EE"/>
    <w:rsid w:val="35DF103A"/>
    <w:rsid w:val="3609112E"/>
    <w:rsid w:val="36C56482"/>
    <w:rsid w:val="36CC2710"/>
    <w:rsid w:val="36F07953"/>
    <w:rsid w:val="36FD79CA"/>
    <w:rsid w:val="3701395E"/>
    <w:rsid w:val="37490E61"/>
    <w:rsid w:val="37C625ED"/>
    <w:rsid w:val="37D42E21"/>
    <w:rsid w:val="37EC5349"/>
    <w:rsid w:val="37F54B45"/>
    <w:rsid w:val="380B25BB"/>
    <w:rsid w:val="3862667F"/>
    <w:rsid w:val="3885236D"/>
    <w:rsid w:val="38AC78FA"/>
    <w:rsid w:val="391E3890"/>
    <w:rsid w:val="39534219"/>
    <w:rsid w:val="3A98792B"/>
    <w:rsid w:val="3AD80D94"/>
    <w:rsid w:val="3AF066C3"/>
    <w:rsid w:val="3B314F27"/>
    <w:rsid w:val="3B5B5607"/>
    <w:rsid w:val="3BEA51F5"/>
    <w:rsid w:val="3C6A6406"/>
    <w:rsid w:val="3C6B3628"/>
    <w:rsid w:val="3D2C0ADF"/>
    <w:rsid w:val="3E1E176E"/>
    <w:rsid w:val="3E202F15"/>
    <w:rsid w:val="3E5755E5"/>
    <w:rsid w:val="3E9078C4"/>
    <w:rsid w:val="3F604F9A"/>
    <w:rsid w:val="404B6C28"/>
    <w:rsid w:val="405A40DF"/>
    <w:rsid w:val="41F540C0"/>
    <w:rsid w:val="420951A2"/>
    <w:rsid w:val="424A7A77"/>
    <w:rsid w:val="42875CFB"/>
    <w:rsid w:val="42C92294"/>
    <w:rsid w:val="43132246"/>
    <w:rsid w:val="440E1469"/>
    <w:rsid w:val="445175A7"/>
    <w:rsid w:val="44657B81"/>
    <w:rsid w:val="4496320C"/>
    <w:rsid w:val="45AC718B"/>
    <w:rsid w:val="45FA78C3"/>
    <w:rsid w:val="468A0B4E"/>
    <w:rsid w:val="47675677"/>
    <w:rsid w:val="47D76015"/>
    <w:rsid w:val="47F72214"/>
    <w:rsid w:val="484A67E7"/>
    <w:rsid w:val="48F53072"/>
    <w:rsid w:val="4916491B"/>
    <w:rsid w:val="492B03C7"/>
    <w:rsid w:val="494621F7"/>
    <w:rsid w:val="4B5F25AA"/>
    <w:rsid w:val="4C3F0C75"/>
    <w:rsid w:val="4C7F348C"/>
    <w:rsid w:val="4D6B792C"/>
    <w:rsid w:val="4D7B2007"/>
    <w:rsid w:val="4E0F02B7"/>
    <w:rsid w:val="4EA07161"/>
    <w:rsid w:val="4F25246D"/>
    <w:rsid w:val="4FCA0126"/>
    <w:rsid w:val="4FD01CC8"/>
    <w:rsid w:val="4FDC68BF"/>
    <w:rsid w:val="4FF05EC6"/>
    <w:rsid w:val="50DD4805"/>
    <w:rsid w:val="50EA7F43"/>
    <w:rsid w:val="50F06B23"/>
    <w:rsid w:val="512822A5"/>
    <w:rsid w:val="513973A6"/>
    <w:rsid w:val="51BB2504"/>
    <w:rsid w:val="51CB0999"/>
    <w:rsid w:val="522B6958"/>
    <w:rsid w:val="52304CA0"/>
    <w:rsid w:val="52E464FE"/>
    <w:rsid w:val="54F36E09"/>
    <w:rsid w:val="55621614"/>
    <w:rsid w:val="558820D0"/>
    <w:rsid w:val="55991722"/>
    <w:rsid w:val="55D371F6"/>
    <w:rsid w:val="55E71B19"/>
    <w:rsid w:val="57346FE0"/>
    <w:rsid w:val="57A903B8"/>
    <w:rsid w:val="57CC0FC7"/>
    <w:rsid w:val="57E254BF"/>
    <w:rsid w:val="57F83763"/>
    <w:rsid w:val="588418A2"/>
    <w:rsid w:val="59796F2C"/>
    <w:rsid w:val="59DB49CF"/>
    <w:rsid w:val="59EC3BA2"/>
    <w:rsid w:val="5A161A30"/>
    <w:rsid w:val="5A3B2D3C"/>
    <w:rsid w:val="5A683FFF"/>
    <w:rsid w:val="5A6C32DD"/>
    <w:rsid w:val="5A880124"/>
    <w:rsid w:val="5AA769EB"/>
    <w:rsid w:val="5B303F63"/>
    <w:rsid w:val="5B321A89"/>
    <w:rsid w:val="5B351579"/>
    <w:rsid w:val="5BFE2505"/>
    <w:rsid w:val="5C163158"/>
    <w:rsid w:val="5C3C5495"/>
    <w:rsid w:val="5C664E8E"/>
    <w:rsid w:val="5C877BB2"/>
    <w:rsid w:val="5DBF29C4"/>
    <w:rsid w:val="5EEC63F2"/>
    <w:rsid w:val="5F5E0F4F"/>
    <w:rsid w:val="603E1CE2"/>
    <w:rsid w:val="60803296"/>
    <w:rsid w:val="60DB227B"/>
    <w:rsid w:val="60DF1D6B"/>
    <w:rsid w:val="61430B52"/>
    <w:rsid w:val="627D7A8D"/>
    <w:rsid w:val="62D85246"/>
    <w:rsid w:val="631F5A7F"/>
    <w:rsid w:val="65297A59"/>
    <w:rsid w:val="662752EF"/>
    <w:rsid w:val="66682803"/>
    <w:rsid w:val="66DD5F97"/>
    <w:rsid w:val="683A3333"/>
    <w:rsid w:val="68BA0755"/>
    <w:rsid w:val="68BE670A"/>
    <w:rsid w:val="68E65C61"/>
    <w:rsid w:val="693F2885"/>
    <w:rsid w:val="69782D5D"/>
    <w:rsid w:val="69D01A3D"/>
    <w:rsid w:val="6A06480C"/>
    <w:rsid w:val="6A927E4E"/>
    <w:rsid w:val="6A955B90"/>
    <w:rsid w:val="6AA33E09"/>
    <w:rsid w:val="6B342BA7"/>
    <w:rsid w:val="6BA53BB1"/>
    <w:rsid w:val="6C2E004A"/>
    <w:rsid w:val="6CF54EC6"/>
    <w:rsid w:val="6D4D62AE"/>
    <w:rsid w:val="6D655CEE"/>
    <w:rsid w:val="6D983C19"/>
    <w:rsid w:val="6D9F0708"/>
    <w:rsid w:val="6DCC2A91"/>
    <w:rsid w:val="6EA42846"/>
    <w:rsid w:val="6F8F0EBD"/>
    <w:rsid w:val="6FA36659"/>
    <w:rsid w:val="6FAB31C3"/>
    <w:rsid w:val="6FB438A3"/>
    <w:rsid w:val="701D01BA"/>
    <w:rsid w:val="701F75C9"/>
    <w:rsid w:val="703F45D4"/>
    <w:rsid w:val="708B5A6B"/>
    <w:rsid w:val="708F5A33"/>
    <w:rsid w:val="71072C9F"/>
    <w:rsid w:val="71972326"/>
    <w:rsid w:val="71E73175"/>
    <w:rsid w:val="724D47CD"/>
    <w:rsid w:val="736E263D"/>
    <w:rsid w:val="73911159"/>
    <w:rsid w:val="73F3271F"/>
    <w:rsid w:val="747E1443"/>
    <w:rsid w:val="74D527BF"/>
    <w:rsid w:val="74F23F66"/>
    <w:rsid w:val="75295853"/>
    <w:rsid w:val="755113BB"/>
    <w:rsid w:val="755D5634"/>
    <w:rsid w:val="78E33F6B"/>
    <w:rsid w:val="794C38BE"/>
    <w:rsid w:val="79852FF6"/>
    <w:rsid w:val="7A2B7F7C"/>
    <w:rsid w:val="7A304F8E"/>
    <w:rsid w:val="7ACC2155"/>
    <w:rsid w:val="7C156B31"/>
    <w:rsid w:val="7C5E095D"/>
    <w:rsid w:val="7CB80EEC"/>
    <w:rsid w:val="7D105E6B"/>
    <w:rsid w:val="7DD6055F"/>
    <w:rsid w:val="7DD66E82"/>
    <w:rsid w:val="7E4E1E86"/>
    <w:rsid w:val="7EA5419C"/>
    <w:rsid w:val="7ED20D09"/>
    <w:rsid w:val="7F121106"/>
    <w:rsid w:val="7F131561"/>
    <w:rsid w:val="7F1A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8"/>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character" w:styleId="20">
    <w:name w:val="Hyperlink"/>
    <w:basedOn w:val="19"/>
    <w:semiHidden/>
    <w:unhideWhenUsed/>
    <w:qFormat/>
    <w:uiPriority w:val="99"/>
    <w:rPr>
      <w:color w:val="0000FF"/>
      <w:u w:val="single"/>
    </w:r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19"/>
    <w:link w:val="2"/>
    <w:autoRedefine/>
    <w:qFormat/>
    <w:uiPriority w:val="9"/>
    <w:rPr>
      <w:b/>
      <w:bCs/>
      <w:kern w:val="44"/>
      <w:sz w:val="44"/>
      <w:szCs w:val="44"/>
    </w:rPr>
  </w:style>
  <w:style w:type="character" w:customStyle="1" w:styleId="23">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24">
    <w:name w:val="标题 3 Char"/>
    <w:basedOn w:val="19"/>
    <w:link w:val="4"/>
    <w:autoRedefine/>
    <w:qFormat/>
    <w:uiPriority w:val="9"/>
    <w:rPr>
      <w:b/>
      <w:bCs/>
      <w:sz w:val="32"/>
      <w:szCs w:val="32"/>
    </w:rPr>
  </w:style>
  <w:style w:type="character" w:customStyle="1" w:styleId="25">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26">
    <w:name w:val="标题 5 Char"/>
    <w:basedOn w:val="19"/>
    <w:link w:val="6"/>
    <w:autoRedefine/>
    <w:qFormat/>
    <w:uiPriority w:val="9"/>
    <w:rPr>
      <w:b/>
      <w:bCs/>
      <w:sz w:val="28"/>
      <w:szCs w:val="28"/>
    </w:rPr>
  </w:style>
  <w:style w:type="character" w:customStyle="1" w:styleId="27">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28">
    <w:name w:val="正文文本 Char"/>
    <w:basedOn w:val="19"/>
    <w:link w:val="8"/>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19"/>
    <w:autoRedefine/>
    <w:qFormat/>
    <w:uiPriority w:val="0"/>
    <w:rPr>
      <w:rFonts w:hint="eastAsia" w:ascii="宋体" w:hAnsi="宋体" w:eastAsia="宋体" w:cs="宋体"/>
      <w:color w:val="000000"/>
      <w:sz w:val="20"/>
      <w:szCs w:val="20"/>
      <w:u w:val="none"/>
    </w:rPr>
  </w:style>
  <w:style w:type="character" w:customStyle="1" w:styleId="31">
    <w:name w:val="font41"/>
    <w:basedOn w:val="19"/>
    <w:qFormat/>
    <w:uiPriority w:val="0"/>
    <w:rPr>
      <w:rFonts w:ascii="Arial" w:hAnsi="Arial" w:cs="Arial"/>
      <w:color w:val="000000"/>
      <w:sz w:val="24"/>
      <w:szCs w:val="24"/>
      <w:u w:val="none"/>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2842</Words>
  <Characters>3289</Characters>
  <Lines>39</Lines>
  <Paragraphs>10</Paragraphs>
  <TotalTime>11</TotalTime>
  <ScaleCrop>false</ScaleCrop>
  <LinksUpToDate>false</LinksUpToDate>
  <CharactersWithSpaces>3331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2023-02-08T01:41:00Z</cp:lastPrinted>
  <dcterms:modified xsi:type="dcterms:W3CDTF">2026-03-20T07:13:35Z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758952547FE147F38857B52D64969FAD_13</vt:lpwstr>
  </property>
  <property fmtid="{D5CDD505-2E9C-101B-9397-08002B2CF9AE}" pid="4" name="KSOTemplateDocerSaveRecord">
    <vt:lpwstr>eyJoZGlkIjoiZTNlMmY5YjcxZTRkZjg5N2MyMWI3YzFkZTQ2OTdlZWQiLCJ1c2VySWQiOiI0NTEyNTg0MjYifQ==</vt:lpwstr>
  </property>
</Properties>
</file>