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3322B">
      <w:pPr>
        <w:widowControl/>
        <w:shd w:val="clear" w:color="auto" w:fill="FFFFFF"/>
        <w:spacing w:line="360" w:lineRule="auto"/>
        <w:jc w:val="center"/>
        <w:rPr>
          <w:rFonts w:ascii="宋体" w:hAnsi="宋体" w:cs="宋体"/>
          <w:b/>
          <w:bCs/>
          <w:kern w:val="0"/>
          <w:sz w:val="37"/>
          <w:szCs w:val="37"/>
          <w:shd w:val="clear" w:color="auto" w:fill="FFFFFF"/>
        </w:rPr>
      </w:pPr>
      <w:r>
        <w:rPr>
          <w:rFonts w:hint="eastAsia" w:ascii="宋体" w:hAnsi="宋体" w:cs="宋体"/>
          <w:b/>
          <w:bCs/>
          <w:kern w:val="0"/>
          <w:sz w:val="37"/>
          <w:szCs w:val="37"/>
          <w:shd w:val="clear" w:color="auto" w:fill="FFFFFF"/>
        </w:rPr>
        <w:t>启东市自来水厂有限公司消防栓2026-2027年度采购项目市场询价公告</w:t>
      </w:r>
    </w:p>
    <w:p w14:paraId="2FC9A64C">
      <w:pPr>
        <w:spacing w:line="480" w:lineRule="exact"/>
        <w:ind w:firstLine="480" w:firstLineChars="200"/>
        <w:rPr>
          <w:rFonts w:ascii="宋体" w:hAnsi="宋体" w:cs="宋体"/>
          <w:bCs/>
          <w:sz w:val="24"/>
        </w:rPr>
      </w:pPr>
      <w:r>
        <w:rPr>
          <w:rFonts w:hint="eastAsia" w:ascii="宋体" w:hAnsi="宋体" w:cs="宋体"/>
          <w:bCs/>
          <w:sz w:val="24"/>
        </w:rPr>
        <w:t>启东市自来水有限公司根据启东市政府采购管理的有关规定，就启东市自来水厂有限公司消防栓2026-2027年度采购项目进行市场采购询价调研。</w:t>
      </w:r>
    </w:p>
    <w:p w14:paraId="5B056C21">
      <w:pPr>
        <w:numPr>
          <w:ilvl w:val="0"/>
          <w:numId w:val="1"/>
        </w:numPr>
        <w:spacing w:line="480" w:lineRule="exact"/>
        <w:ind w:firstLine="482" w:firstLineChars="200"/>
        <w:rPr>
          <w:rFonts w:hint="eastAsia" w:ascii="宋体" w:hAnsi="宋体" w:cs="宋体"/>
          <w:b/>
          <w:sz w:val="24"/>
        </w:rPr>
      </w:pPr>
      <w:r>
        <w:rPr>
          <w:rFonts w:hint="eastAsia" w:ascii="宋体" w:hAnsi="宋体" w:cs="宋体"/>
          <w:b/>
          <w:sz w:val="24"/>
        </w:rPr>
        <w:t>采购货物需求：</w:t>
      </w:r>
    </w:p>
    <w:tbl>
      <w:tblPr>
        <w:tblStyle w:val="7"/>
        <w:tblW w:w="4955" w:type="pct"/>
        <w:jc w:val="center"/>
        <w:tblLayout w:type="fixed"/>
        <w:tblCellMar>
          <w:top w:w="0" w:type="dxa"/>
          <w:left w:w="108" w:type="dxa"/>
          <w:bottom w:w="0" w:type="dxa"/>
          <w:right w:w="108" w:type="dxa"/>
        </w:tblCellMar>
      </w:tblPr>
      <w:tblGrid>
        <w:gridCol w:w="869"/>
        <w:gridCol w:w="1437"/>
        <w:gridCol w:w="2409"/>
        <w:gridCol w:w="1307"/>
        <w:gridCol w:w="1417"/>
        <w:gridCol w:w="1387"/>
      </w:tblGrid>
      <w:tr w14:paraId="2E4EBA54">
        <w:tblPrEx>
          <w:tblCellMar>
            <w:top w:w="0" w:type="dxa"/>
            <w:left w:w="108" w:type="dxa"/>
            <w:bottom w:w="0" w:type="dxa"/>
            <w:right w:w="108" w:type="dxa"/>
          </w:tblCellMar>
        </w:tblPrEx>
        <w:trPr>
          <w:trHeight w:val="855"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7EED">
            <w:pPr>
              <w:spacing w:line="440" w:lineRule="exact"/>
              <w:jc w:val="center"/>
              <w:rPr>
                <w:rFonts w:ascii="宋体" w:hAnsi="宋体" w:cs="宋体"/>
                <w:sz w:val="24"/>
              </w:rPr>
            </w:pPr>
            <w:r>
              <w:rPr>
                <w:rFonts w:hint="eastAsia" w:ascii="宋体" w:hAnsi="宋体" w:cs="宋体"/>
                <w:sz w:val="24"/>
              </w:rPr>
              <w:t>序号</w:t>
            </w:r>
          </w:p>
        </w:tc>
        <w:tc>
          <w:tcPr>
            <w:tcW w:w="1437" w:type="dxa"/>
            <w:tcBorders>
              <w:top w:val="single" w:color="000000" w:sz="4" w:space="0"/>
              <w:left w:val="nil"/>
              <w:bottom w:val="single" w:color="000000" w:sz="4" w:space="0"/>
              <w:right w:val="single" w:color="000000" w:sz="4" w:space="0"/>
            </w:tcBorders>
            <w:shd w:val="clear" w:color="auto" w:fill="auto"/>
            <w:vAlign w:val="center"/>
          </w:tcPr>
          <w:p w14:paraId="6AAD274F">
            <w:pPr>
              <w:spacing w:line="440" w:lineRule="exact"/>
              <w:jc w:val="center"/>
              <w:rPr>
                <w:rFonts w:ascii="宋体" w:hAnsi="宋体" w:cs="宋体"/>
                <w:sz w:val="24"/>
              </w:rPr>
            </w:pPr>
            <w:r>
              <w:rPr>
                <w:rFonts w:hint="eastAsia" w:ascii="宋体" w:hAnsi="宋体" w:cs="宋体"/>
                <w:sz w:val="24"/>
              </w:rPr>
              <w:t>材料名称</w:t>
            </w:r>
          </w:p>
        </w:tc>
        <w:tc>
          <w:tcPr>
            <w:tcW w:w="2409" w:type="dxa"/>
            <w:tcBorders>
              <w:top w:val="single" w:color="000000" w:sz="4" w:space="0"/>
              <w:left w:val="nil"/>
              <w:bottom w:val="single" w:color="000000" w:sz="4" w:space="0"/>
              <w:right w:val="single" w:color="000000" w:sz="4" w:space="0"/>
            </w:tcBorders>
            <w:shd w:val="clear" w:color="auto" w:fill="auto"/>
            <w:vAlign w:val="center"/>
          </w:tcPr>
          <w:p w14:paraId="64F6D37A">
            <w:pPr>
              <w:spacing w:line="440" w:lineRule="exact"/>
              <w:jc w:val="center"/>
              <w:rPr>
                <w:rFonts w:ascii="宋体" w:hAnsi="宋体" w:cs="宋体"/>
                <w:sz w:val="24"/>
              </w:rPr>
            </w:pPr>
            <w:r>
              <w:rPr>
                <w:rFonts w:hint="eastAsia" w:ascii="宋体" w:hAnsi="宋体" w:cs="宋体"/>
                <w:sz w:val="24"/>
              </w:rPr>
              <w:t>规格</w:t>
            </w:r>
            <w:r>
              <w:rPr>
                <w:rFonts w:ascii="宋体" w:hAnsi="宋体" w:cs="宋体"/>
                <w:sz w:val="24"/>
              </w:rPr>
              <w:t>/</w:t>
            </w:r>
            <w:r>
              <w:rPr>
                <w:rFonts w:hint="eastAsia" w:ascii="宋体" w:hAnsi="宋体" w:cs="宋体"/>
                <w:sz w:val="24"/>
              </w:rPr>
              <w:t>型号</w:t>
            </w:r>
          </w:p>
        </w:tc>
        <w:tc>
          <w:tcPr>
            <w:tcW w:w="1307" w:type="dxa"/>
            <w:tcBorders>
              <w:top w:val="single" w:color="000000" w:sz="4" w:space="0"/>
              <w:left w:val="nil"/>
              <w:bottom w:val="single" w:color="000000" w:sz="4" w:space="0"/>
              <w:right w:val="single" w:color="000000" w:sz="4" w:space="0"/>
            </w:tcBorders>
            <w:shd w:val="clear" w:color="auto" w:fill="auto"/>
            <w:vAlign w:val="center"/>
          </w:tcPr>
          <w:p w14:paraId="2061F3B5">
            <w:pPr>
              <w:spacing w:line="440" w:lineRule="exact"/>
              <w:jc w:val="center"/>
              <w:rPr>
                <w:rFonts w:ascii="宋体" w:hAnsi="宋体" w:cs="宋体"/>
                <w:sz w:val="24"/>
              </w:rPr>
            </w:pPr>
            <w:r>
              <w:rPr>
                <w:rFonts w:hint="eastAsia" w:ascii="宋体" w:hAnsi="宋体" w:cs="宋体"/>
                <w:sz w:val="24"/>
              </w:rPr>
              <w:t>单位</w:t>
            </w:r>
          </w:p>
        </w:tc>
        <w:tc>
          <w:tcPr>
            <w:tcW w:w="1417" w:type="dxa"/>
            <w:tcBorders>
              <w:top w:val="single" w:color="000000" w:sz="4" w:space="0"/>
              <w:left w:val="nil"/>
              <w:bottom w:val="single" w:color="000000" w:sz="4" w:space="0"/>
              <w:right w:val="single" w:color="000000" w:sz="4" w:space="0"/>
            </w:tcBorders>
            <w:shd w:val="clear" w:color="auto" w:fill="auto"/>
            <w:vAlign w:val="center"/>
          </w:tcPr>
          <w:p w14:paraId="332EBE3C">
            <w:pPr>
              <w:spacing w:line="440" w:lineRule="exact"/>
              <w:jc w:val="center"/>
              <w:rPr>
                <w:rFonts w:ascii="宋体" w:hAnsi="宋体" w:cs="宋体"/>
                <w:sz w:val="24"/>
              </w:rPr>
            </w:pPr>
            <w:r>
              <w:rPr>
                <w:rFonts w:hint="eastAsia" w:ascii="宋体" w:hAnsi="宋体" w:cs="宋体"/>
                <w:sz w:val="24"/>
              </w:rPr>
              <w:t>预估数量</w:t>
            </w: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5F4AA73A">
            <w:pPr>
              <w:spacing w:line="440" w:lineRule="exact"/>
              <w:jc w:val="center"/>
              <w:rPr>
                <w:rFonts w:ascii="宋体" w:hAnsi="宋体" w:cs="宋体"/>
                <w:sz w:val="24"/>
              </w:rPr>
            </w:pPr>
            <w:r>
              <w:rPr>
                <w:rFonts w:hint="eastAsia" w:ascii="宋体" w:hAnsi="宋体" w:cs="宋体"/>
                <w:sz w:val="24"/>
              </w:rPr>
              <w:t>备注</w:t>
            </w:r>
          </w:p>
        </w:tc>
      </w:tr>
      <w:tr w14:paraId="0067221E">
        <w:tblPrEx>
          <w:tblCellMar>
            <w:top w:w="0" w:type="dxa"/>
            <w:left w:w="108" w:type="dxa"/>
            <w:bottom w:w="0" w:type="dxa"/>
            <w:right w:w="108" w:type="dxa"/>
          </w:tblCellMar>
        </w:tblPrEx>
        <w:trPr>
          <w:trHeight w:val="684"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C4D4">
            <w:pPr>
              <w:spacing w:line="440" w:lineRule="exact"/>
              <w:jc w:val="center"/>
              <w:rPr>
                <w:rFonts w:ascii="宋体" w:hAnsi="宋体" w:cs="宋体"/>
                <w:sz w:val="24"/>
              </w:rPr>
            </w:pPr>
            <w:r>
              <w:rPr>
                <w:rFonts w:ascii="宋体" w:hAnsi="宋体" w:cs="宋体"/>
                <w:sz w:val="24"/>
              </w:rPr>
              <w:t>1</w:t>
            </w:r>
          </w:p>
        </w:tc>
        <w:tc>
          <w:tcPr>
            <w:tcW w:w="1437" w:type="dxa"/>
            <w:tcBorders>
              <w:top w:val="single" w:color="000000" w:sz="4" w:space="0"/>
              <w:left w:val="nil"/>
              <w:bottom w:val="single" w:color="000000" w:sz="4" w:space="0"/>
              <w:right w:val="single" w:color="000000" w:sz="4" w:space="0"/>
            </w:tcBorders>
            <w:shd w:val="clear" w:color="auto" w:fill="auto"/>
            <w:vAlign w:val="center"/>
          </w:tcPr>
          <w:p w14:paraId="02280312">
            <w:pPr>
              <w:spacing w:line="440" w:lineRule="exact"/>
              <w:jc w:val="center"/>
              <w:rPr>
                <w:rFonts w:ascii="宋体" w:hAnsi="宋体" w:cs="宋体"/>
                <w:sz w:val="24"/>
              </w:rPr>
            </w:pPr>
            <w:r>
              <w:rPr>
                <w:rFonts w:hint="eastAsia" w:ascii="宋体" w:hAnsi="宋体" w:cs="宋体"/>
                <w:sz w:val="24"/>
              </w:rPr>
              <w:t>消防栓</w:t>
            </w:r>
          </w:p>
        </w:tc>
        <w:tc>
          <w:tcPr>
            <w:tcW w:w="2409" w:type="dxa"/>
            <w:tcBorders>
              <w:top w:val="single" w:color="000000" w:sz="4" w:space="0"/>
              <w:left w:val="nil"/>
              <w:bottom w:val="single" w:color="000000" w:sz="4" w:space="0"/>
              <w:right w:val="single" w:color="000000" w:sz="4" w:space="0"/>
            </w:tcBorders>
            <w:shd w:val="clear" w:color="auto" w:fill="auto"/>
            <w:noWrap/>
            <w:vAlign w:val="center"/>
          </w:tcPr>
          <w:p w14:paraId="402FB37D">
            <w:pPr>
              <w:spacing w:line="440" w:lineRule="exact"/>
              <w:jc w:val="center"/>
              <w:rPr>
                <w:rFonts w:ascii="宋体" w:hAnsi="宋体" w:cs="宋体"/>
                <w:sz w:val="24"/>
              </w:rPr>
            </w:pPr>
            <w:r>
              <w:rPr>
                <w:rFonts w:ascii="宋体" w:hAnsi="宋体" w:cs="宋体"/>
                <w:sz w:val="24"/>
              </w:rPr>
              <w:t>DN100*1.6MPa</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44E243EA">
            <w:pPr>
              <w:spacing w:line="440" w:lineRule="exact"/>
              <w:jc w:val="center"/>
              <w:rPr>
                <w:rFonts w:ascii="宋体" w:hAnsi="宋体" w:cs="宋体"/>
                <w:sz w:val="24"/>
              </w:rPr>
            </w:pPr>
            <w:r>
              <w:rPr>
                <w:rFonts w:hint="eastAsia" w:ascii="宋体" w:hAnsi="宋体" w:cs="宋体"/>
                <w:sz w:val="24"/>
              </w:rPr>
              <w:t>只</w:t>
            </w: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14:paraId="0A325339">
            <w:pPr>
              <w:spacing w:line="440" w:lineRule="exact"/>
              <w:jc w:val="center"/>
              <w:rPr>
                <w:rFonts w:ascii="宋体" w:hAnsi="宋体" w:cs="宋体"/>
                <w:sz w:val="24"/>
              </w:rPr>
            </w:pPr>
            <w:r>
              <w:rPr>
                <w:rFonts w:ascii="宋体" w:hAnsi="宋体" w:cs="宋体"/>
                <w:sz w:val="24"/>
              </w:rPr>
              <w:t>5</w:t>
            </w:r>
            <w:r>
              <w:rPr>
                <w:rFonts w:hint="eastAsia" w:ascii="宋体" w:hAnsi="宋体" w:cs="宋体"/>
                <w:sz w:val="24"/>
              </w:rPr>
              <w:t>5</w:t>
            </w:r>
            <w:r>
              <w:rPr>
                <w:rFonts w:ascii="宋体" w:hAnsi="宋体" w:cs="宋体"/>
                <w:sz w:val="24"/>
              </w:rPr>
              <w:t>0</w:t>
            </w: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383C4D3A">
            <w:pPr>
              <w:spacing w:line="440" w:lineRule="exact"/>
              <w:jc w:val="center"/>
              <w:rPr>
                <w:rFonts w:ascii="宋体" w:hAnsi="宋体" w:cs="宋体"/>
                <w:sz w:val="24"/>
              </w:rPr>
            </w:pPr>
            <w:r>
              <w:rPr>
                <w:rFonts w:hint="eastAsia" w:ascii="宋体" w:hAnsi="宋体" w:cs="宋体"/>
                <w:sz w:val="24"/>
              </w:rPr>
              <w:t xml:space="preserve"> </w:t>
            </w:r>
          </w:p>
        </w:tc>
      </w:tr>
    </w:tbl>
    <w:p w14:paraId="5B21F9A1">
      <w:pPr>
        <w:spacing w:line="480" w:lineRule="exact"/>
        <w:ind w:firstLine="482" w:firstLineChars="200"/>
        <w:rPr>
          <w:rFonts w:ascii="宋体" w:hAnsi="宋体" w:cs="宋体"/>
          <w:b/>
          <w:bCs/>
          <w:sz w:val="24"/>
        </w:rPr>
      </w:pPr>
      <w:r>
        <w:rPr>
          <w:rFonts w:hint="eastAsia" w:ascii="宋体" w:hAnsi="宋体" w:cs="宋体"/>
          <w:b/>
          <w:sz w:val="24"/>
        </w:rPr>
        <w:t>二、</w:t>
      </w:r>
      <w:r>
        <w:rPr>
          <w:rFonts w:hint="eastAsia" w:ascii="宋体" w:hAnsi="宋体" w:cs="宋体"/>
          <w:b/>
          <w:bCs/>
          <w:sz w:val="24"/>
        </w:rPr>
        <w:t>材料标准及要求</w:t>
      </w:r>
    </w:p>
    <w:p w14:paraId="3B32650E">
      <w:pPr>
        <w:spacing w:line="480" w:lineRule="exact"/>
        <w:ind w:firstLine="480" w:firstLineChars="200"/>
        <w:rPr>
          <w:rFonts w:hint="eastAsia" w:ascii="宋体" w:hAnsi="宋体" w:cs="宋体"/>
          <w:sz w:val="24"/>
        </w:rPr>
      </w:pPr>
      <w:r>
        <w:rPr>
          <w:rFonts w:hint="eastAsia" w:ascii="宋体" w:hAnsi="宋体" w:cs="宋体"/>
          <w:sz w:val="24"/>
        </w:rPr>
        <w:t>（一）货物技术规格</w:t>
      </w:r>
    </w:p>
    <w:p w14:paraId="21BB90B9">
      <w:pPr>
        <w:spacing w:line="480" w:lineRule="exact"/>
        <w:ind w:firstLine="480" w:firstLineChars="200"/>
        <w:rPr>
          <w:rFonts w:hint="eastAsia" w:ascii="宋体" w:hAnsi="宋体" w:cs="宋体"/>
          <w:sz w:val="24"/>
        </w:rPr>
      </w:pPr>
      <w:r>
        <w:rPr>
          <w:rFonts w:hint="eastAsia" w:ascii="宋体" w:hAnsi="宋体" w:cs="宋体"/>
          <w:sz w:val="24"/>
        </w:rPr>
        <w:t>1、SS100/65-1.6室外地上式消火栓供水设施，上部露出地面，标志明显，使用方便。进水口连接形式采用法兰式，大出水口采用通用100毫米口径外螺纹式，小出水口采用通用65mm口径内扣式,中节法兰20mm,弯管法兰18mm。</w:t>
      </w:r>
    </w:p>
    <w:p w14:paraId="0675565E">
      <w:pPr>
        <w:spacing w:line="480" w:lineRule="exact"/>
        <w:ind w:firstLine="480" w:firstLineChars="200"/>
        <w:rPr>
          <w:rFonts w:hint="eastAsia" w:ascii="宋体" w:hAnsi="宋体" w:cs="宋体"/>
          <w:sz w:val="24"/>
        </w:rPr>
      </w:pPr>
      <w:r>
        <w:rPr>
          <w:rFonts w:hint="eastAsia" w:ascii="宋体" w:hAnsi="宋体" w:cs="宋体"/>
          <w:sz w:val="24"/>
        </w:rPr>
        <w:t>1.1、消防栓总高度（长度）大于等于1.2m；其中红色部分高度不低于70cm；黑色部分高度不低于50cm。</w:t>
      </w:r>
    </w:p>
    <w:p w14:paraId="72900B86">
      <w:pPr>
        <w:spacing w:line="480" w:lineRule="exact"/>
        <w:ind w:firstLine="480" w:firstLineChars="200"/>
        <w:rPr>
          <w:rFonts w:hint="eastAsia" w:ascii="宋体" w:hAnsi="宋体" w:cs="宋体"/>
          <w:sz w:val="24"/>
        </w:rPr>
      </w:pPr>
      <w:r>
        <w:rPr>
          <w:rFonts w:hint="eastAsia" w:ascii="宋体" w:hAnsi="宋体" w:cs="宋体"/>
          <w:sz w:val="24"/>
        </w:rPr>
        <w:t>1.2、完整的消防栓重量不少于：57 kg。</w:t>
      </w:r>
    </w:p>
    <w:p w14:paraId="0693EC44">
      <w:pPr>
        <w:spacing w:line="480" w:lineRule="exact"/>
        <w:ind w:firstLine="480" w:firstLineChars="200"/>
        <w:rPr>
          <w:rFonts w:hint="eastAsia" w:ascii="宋体" w:hAnsi="宋体" w:cs="宋体"/>
          <w:sz w:val="24"/>
        </w:rPr>
      </w:pPr>
      <w:r>
        <w:rPr>
          <w:rFonts w:hint="eastAsia" w:ascii="宋体" w:hAnsi="宋体" w:cs="宋体"/>
          <w:sz w:val="24"/>
        </w:rPr>
        <w:t>1.3、消防栓顶部阀杆盖子(帽盖)和栓体材质必须相同。</w:t>
      </w:r>
    </w:p>
    <w:p w14:paraId="0A9D4E83">
      <w:pPr>
        <w:spacing w:line="480" w:lineRule="exact"/>
        <w:ind w:firstLine="480" w:firstLineChars="200"/>
        <w:rPr>
          <w:rFonts w:hint="eastAsia" w:ascii="宋体" w:hAnsi="宋体" w:cs="宋体"/>
          <w:sz w:val="24"/>
        </w:rPr>
      </w:pPr>
      <w:r>
        <w:rPr>
          <w:rFonts w:hint="eastAsia" w:ascii="宋体" w:hAnsi="宋体" w:cs="宋体"/>
          <w:sz w:val="24"/>
        </w:rPr>
        <w:t>1.4、DN100*1、DN65*2，三个出水口使用的盖子必须与栓体材质相同，盖子链条须具有防盗功能，不能轻易被拉扯掉。</w:t>
      </w:r>
    </w:p>
    <w:p w14:paraId="43C32FC4">
      <w:pPr>
        <w:spacing w:line="480" w:lineRule="exact"/>
        <w:ind w:firstLine="480" w:firstLineChars="200"/>
        <w:rPr>
          <w:rFonts w:hint="eastAsia" w:ascii="宋体" w:hAnsi="宋体" w:cs="宋体"/>
          <w:sz w:val="24"/>
        </w:rPr>
      </w:pPr>
      <w:r>
        <w:rPr>
          <w:rFonts w:hint="eastAsia" w:ascii="宋体" w:hAnsi="宋体" w:cs="宋体"/>
          <w:sz w:val="24"/>
        </w:rPr>
        <w:t>1.5、消防栓红色部分和黑色部分连DN100法兰,法兰内直径达到 10 cm，外直径达到 21cm，厚度不少于 1.6 cm；法兰孔眼为8眼，每二个相临螺孔边与边之间的间隔距离为 5 cm。</w:t>
      </w:r>
    </w:p>
    <w:p w14:paraId="2E022490">
      <w:pPr>
        <w:spacing w:line="480" w:lineRule="exact"/>
        <w:ind w:firstLine="480" w:firstLineChars="200"/>
        <w:rPr>
          <w:rFonts w:hint="eastAsia" w:ascii="宋体" w:hAnsi="宋体" w:cs="宋体"/>
          <w:sz w:val="24"/>
        </w:rPr>
      </w:pPr>
      <w:r>
        <w:rPr>
          <w:rFonts w:hint="eastAsia" w:ascii="宋体" w:hAnsi="宋体" w:cs="宋体"/>
          <w:sz w:val="24"/>
        </w:rPr>
        <w:t>（二）主要零部件基本要求</w:t>
      </w:r>
    </w:p>
    <w:tbl>
      <w:tblPr>
        <w:tblStyle w:val="7"/>
        <w:tblW w:w="8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4005"/>
        <w:gridCol w:w="3105"/>
      </w:tblGrid>
      <w:tr w14:paraId="3228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D6D8B14">
            <w:pPr>
              <w:widowControl/>
              <w:kinsoku w:val="0"/>
              <w:autoSpaceDE w:val="0"/>
              <w:autoSpaceDN w:val="0"/>
              <w:adjustRightInd w:val="0"/>
              <w:snapToGrid w:val="0"/>
              <w:spacing w:line="500" w:lineRule="exact"/>
              <w:ind w:firstLine="120" w:firstLineChars="50"/>
              <w:textAlignment w:val="baseline"/>
              <w:rPr>
                <w:rFonts w:ascii="宋体" w:hAnsi="宋体" w:cs="宋体"/>
                <w:snapToGrid w:val="0"/>
                <w:color w:val="000000"/>
                <w:kern w:val="0"/>
                <w:sz w:val="24"/>
              </w:rPr>
            </w:pPr>
            <w:r>
              <w:rPr>
                <w:rFonts w:hint="eastAsia" w:ascii="宋体" w:hAnsi="宋体" w:cs="宋体"/>
                <w:snapToGrid w:val="0"/>
                <w:color w:val="000000"/>
                <w:kern w:val="0"/>
                <w:sz w:val="24"/>
              </w:rPr>
              <w:t>序号</w:t>
            </w:r>
          </w:p>
        </w:tc>
        <w:tc>
          <w:tcPr>
            <w:tcW w:w="4005" w:type="dxa"/>
            <w:tcBorders>
              <w:top w:val="single" w:color="auto" w:sz="4" w:space="0"/>
              <w:left w:val="nil"/>
              <w:bottom w:val="single" w:color="auto" w:sz="4" w:space="0"/>
              <w:right w:val="single" w:color="auto" w:sz="4" w:space="0"/>
            </w:tcBorders>
            <w:shd w:val="clear" w:color="auto" w:fill="auto"/>
            <w:vAlign w:val="center"/>
          </w:tcPr>
          <w:p w14:paraId="2553E7CF">
            <w:pPr>
              <w:widowControl/>
              <w:kinsoku w:val="0"/>
              <w:autoSpaceDE w:val="0"/>
              <w:autoSpaceDN w:val="0"/>
              <w:adjustRightInd w:val="0"/>
              <w:snapToGrid w:val="0"/>
              <w:spacing w:line="500" w:lineRule="exact"/>
              <w:ind w:firstLine="1440" w:firstLineChars="600"/>
              <w:textAlignment w:val="baseline"/>
              <w:rPr>
                <w:rFonts w:ascii="宋体" w:hAnsi="宋体" w:cs="宋体"/>
                <w:snapToGrid w:val="0"/>
                <w:color w:val="000000"/>
                <w:kern w:val="0"/>
                <w:sz w:val="24"/>
              </w:rPr>
            </w:pPr>
            <w:r>
              <w:rPr>
                <w:rFonts w:hint="eastAsia" w:ascii="宋体" w:hAnsi="宋体" w:cs="宋体"/>
                <w:snapToGrid w:val="0"/>
                <w:color w:val="000000"/>
                <w:kern w:val="0"/>
                <w:sz w:val="24"/>
              </w:rPr>
              <w:t>名称</w:t>
            </w:r>
          </w:p>
        </w:tc>
        <w:tc>
          <w:tcPr>
            <w:tcW w:w="3105" w:type="dxa"/>
            <w:tcBorders>
              <w:top w:val="single" w:color="auto" w:sz="4" w:space="0"/>
              <w:left w:val="nil"/>
              <w:bottom w:val="single" w:color="auto" w:sz="4" w:space="0"/>
              <w:right w:val="single" w:color="auto" w:sz="4" w:space="0"/>
            </w:tcBorders>
            <w:shd w:val="clear" w:color="auto" w:fill="auto"/>
            <w:vAlign w:val="center"/>
          </w:tcPr>
          <w:p w14:paraId="02077922">
            <w:pPr>
              <w:widowControl/>
              <w:kinsoku w:val="0"/>
              <w:autoSpaceDE w:val="0"/>
              <w:autoSpaceDN w:val="0"/>
              <w:adjustRightInd w:val="0"/>
              <w:snapToGrid w:val="0"/>
              <w:spacing w:line="500" w:lineRule="exact"/>
              <w:ind w:firstLine="480" w:firstLineChars="200"/>
              <w:jc w:val="center"/>
              <w:textAlignment w:val="baseline"/>
              <w:rPr>
                <w:rFonts w:ascii="宋体" w:hAnsi="宋体" w:cs="宋体"/>
                <w:snapToGrid w:val="0"/>
                <w:color w:val="000000"/>
                <w:kern w:val="0"/>
                <w:sz w:val="24"/>
              </w:rPr>
            </w:pPr>
            <w:r>
              <w:rPr>
                <w:rFonts w:ascii="宋体" w:hAnsi="宋体" w:cs="宋体"/>
                <w:snapToGrid w:val="0"/>
                <w:color w:val="000000"/>
                <w:kern w:val="0"/>
                <w:sz w:val="24"/>
              </w:rPr>
              <w:t>★</w:t>
            </w:r>
            <w:r>
              <w:rPr>
                <w:rFonts w:hint="eastAsia" w:ascii="宋体" w:hAnsi="宋体" w:cs="宋体"/>
                <w:snapToGrid w:val="0"/>
                <w:color w:val="000000"/>
                <w:kern w:val="0"/>
                <w:sz w:val="24"/>
              </w:rPr>
              <w:t>材质</w:t>
            </w:r>
          </w:p>
        </w:tc>
      </w:tr>
      <w:tr w14:paraId="2BA9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585558F">
            <w:pPr>
              <w:widowControl/>
              <w:kinsoku w:val="0"/>
              <w:autoSpaceDE w:val="0"/>
              <w:autoSpaceDN w:val="0"/>
              <w:adjustRightInd w:val="0"/>
              <w:snapToGrid w:val="0"/>
              <w:spacing w:line="500" w:lineRule="exact"/>
              <w:ind w:firstLine="336" w:firstLineChars="140"/>
              <w:textAlignment w:val="baseline"/>
              <w:rPr>
                <w:rFonts w:ascii="宋体" w:hAnsi="宋体" w:cs="宋体"/>
                <w:snapToGrid w:val="0"/>
                <w:color w:val="000000"/>
                <w:kern w:val="0"/>
                <w:sz w:val="24"/>
              </w:rPr>
            </w:pPr>
            <w:r>
              <w:rPr>
                <w:rFonts w:ascii="宋体" w:hAnsi="宋体" w:cs="宋体"/>
                <w:snapToGrid w:val="0"/>
                <w:color w:val="000000"/>
                <w:kern w:val="0"/>
                <w:sz w:val="24"/>
              </w:rPr>
              <w:t>1</w:t>
            </w:r>
          </w:p>
        </w:tc>
        <w:tc>
          <w:tcPr>
            <w:tcW w:w="4005" w:type="dxa"/>
            <w:tcBorders>
              <w:top w:val="single" w:color="auto" w:sz="4" w:space="0"/>
              <w:left w:val="nil"/>
              <w:bottom w:val="single" w:color="auto" w:sz="4" w:space="0"/>
              <w:right w:val="single" w:color="auto" w:sz="4" w:space="0"/>
            </w:tcBorders>
            <w:shd w:val="clear" w:color="auto" w:fill="auto"/>
            <w:vAlign w:val="center"/>
          </w:tcPr>
          <w:p w14:paraId="2A7D0DAE">
            <w:pPr>
              <w:widowControl/>
              <w:kinsoku w:val="0"/>
              <w:autoSpaceDE w:val="0"/>
              <w:autoSpaceDN w:val="0"/>
              <w:adjustRightInd w:val="0"/>
              <w:snapToGrid w:val="0"/>
              <w:spacing w:line="500" w:lineRule="exact"/>
              <w:jc w:val="center"/>
              <w:textAlignment w:val="baseline"/>
              <w:rPr>
                <w:rFonts w:ascii="宋体" w:hAnsi="宋体" w:cs="宋体"/>
                <w:snapToGrid w:val="0"/>
                <w:color w:val="000000"/>
                <w:kern w:val="0"/>
                <w:sz w:val="24"/>
              </w:rPr>
            </w:pPr>
            <w:r>
              <w:rPr>
                <w:rFonts w:hint="eastAsia" w:ascii="宋体" w:hAnsi="宋体" w:cs="宋体"/>
                <w:snapToGrid w:val="0"/>
                <w:color w:val="000000"/>
                <w:kern w:val="0"/>
                <w:sz w:val="24"/>
              </w:rPr>
              <w:t>栓身、阀体、法兰接管、弯管</w:t>
            </w:r>
          </w:p>
        </w:tc>
        <w:tc>
          <w:tcPr>
            <w:tcW w:w="3105" w:type="dxa"/>
            <w:tcBorders>
              <w:top w:val="single" w:color="auto" w:sz="4" w:space="0"/>
              <w:left w:val="nil"/>
              <w:bottom w:val="single" w:color="auto" w:sz="4" w:space="0"/>
              <w:right w:val="single" w:color="auto" w:sz="4" w:space="0"/>
            </w:tcBorders>
            <w:shd w:val="clear" w:color="auto" w:fill="auto"/>
            <w:vAlign w:val="center"/>
          </w:tcPr>
          <w:p w14:paraId="28DAF95F">
            <w:pPr>
              <w:widowControl/>
              <w:kinsoku w:val="0"/>
              <w:autoSpaceDE w:val="0"/>
              <w:autoSpaceDN w:val="0"/>
              <w:adjustRightInd w:val="0"/>
              <w:snapToGrid w:val="0"/>
              <w:spacing w:line="500" w:lineRule="exact"/>
              <w:ind w:firstLine="480" w:firstLineChars="200"/>
              <w:textAlignment w:val="baseline"/>
              <w:rPr>
                <w:rFonts w:ascii="宋体" w:hAnsi="宋体" w:cs="宋体"/>
                <w:snapToGrid w:val="0"/>
                <w:color w:val="000000"/>
                <w:kern w:val="0"/>
                <w:sz w:val="24"/>
              </w:rPr>
            </w:pPr>
            <w:r>
              <w:rPr>
                <w:rFonts w:ascii="宋体" w:hAnsi="宋体" w:cs="宋体"/>
                <w:snapToGrid w:val="0"/>
                <w:color w:val="000000"/>
                <w:kern w:val="0"/>
                <w:sz w:val="24"/>
              </w:rPr>
              <w:t>QT450-10</w:t>
            </w:r>
            <w:r>
              <w:rPr>
                <w:rFonts w:hint="eastAsia" w:ascii="宋体" w:hAnsi="宋体" w:cs="宋体"/>
                <w:snapToGrid w:val="0"/>
                <w:color w:val="000000"/>
                <w:kern w:val="0"/>
                <w:sz w:val="24"/>
              </w:rPr>
              <w:t>球墨铸铁</w:t>
            </w:r>
          </w:p>
        </w:tc>
      </w:tr>
      <w:tr w14:paraId="274E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D3D1783">
            <w:pPr>
              <w:widowControl/>
              <w:kinsoku w:val="0"/>
              <w:autoSpaceDE w:val="0"/>
              <w:autoSpaceDN w:val="0"/>
              <w:adjustRightInd w:val="0"/>
              <w:snapToGrid w:val="0"/>
              <w:spacing w:line="500" w:lineRule="exact"/>
              <w:ind w:firstLine="336" w:firstLineChars="140"/>
              <w:textAlignment w:val="baseline"/>
              <w:rPr>
                <w:rFonts w:ascii="宋体" w:hAnsi="宋体" w:cs="宋体"/>
                <w:snapToGrid w:val="0"/>
                <w:color w:val="000000"/>
                <w:kern w:val="0"/>
                <w:sz w:val="24"/>
              </w:rPr>
            </w:pPr>
            <w:r>
              <w:rPr>
                <w:rFonts w:ascii="宋体" w:hAnsi="宋体" w:cs="宋体"/>
                <w:snapToGrid w:val="0"/>
                <w:color w:val="000000"/>
                <w:kern w:val="0"/>
                <w:sz w:val="24"/>
              </w:rPr>
              <w:t>2</w:t>
            </w:r>
          </w:p>
        </w:tc>
        <w:tc>
          <w:tcPr>
            <w:tcW w:w="4005" w:type="dxa"/>
            <w:tcBorders>
              <w:top w:val="single" w:color="auto" w:sz="4" w:space="0"/>
              <w:left w:val="nil"/>
              <w:bottom w:val="single" w:color="auto" w:sz="4" w:space="0"/>
              <w:right w:val="single" w:color="auto" w:sz="4" w:space="0"/>
            </w:tcBorders>
            <w:shd w:val="clear" w:color="auto" w:fill="auto"/>
            <w:vAlign w:val="center"/>
          </w:tcPr>
          <w:p w14:paraId="783ECD2A">
            <w:pPr>
              <w:widowControl/>
              <w:kinsoku w:val="0"/>
              <w:autoSpaceDE w:val="0"/>
              <w:autoSpaceDN w:val="0"/>
              <w:adjustRightInd w:val="0"/>
              <w:snapToGrid w:val="0"/>
              <w:spacing w:line="500" w:lineRule="exact"/>
              <w:ind w:firstLine="1320" w:firstLineChars="550"/>
              <w:textAlignment w:val="baseline"/>
              <w:rPr>
                <w:rFonts w:ascii="宋体" w:hAnsi="宋体" w:cs="宋体"/>
                <w:snapToGrid w:val="0"/>
                <w:color w:val="000000"/>
                <w:kern w:val="0"/>
                <w:sz w:val="24"/>
              </w:rPr>
            </w:pPr>
            <w:r>
              <w:rPr>
                <w:rFonts w:hint="eastAsia" w:ascii="宋体" w:hAnsi="宋体" w:cs="宋体"/>
                <w:snapToGrid w:val="0"/>
                <w:color w:val="000000"/>
                <w:kern w:val="0"/>
                <w:sz w:val="24"/>
              </w:rPr>
              <w:t>驱动螺杆</w:t>
            </w:r>
          </w:p>
        </w:tc>
        <w:tc>
          <w:tcPr>
            <w:tcW w:w="3105" w:type="dxa"/>
            <w:tcBorders>
              <w:top w:val="single" w:color="auto" w:sz="4" w:space="0"/>
              <w:left w:val="nil"/>
              <w:bottom w:val="single" w:color="auto" w:sz="4" w:space="0"/>
              <w:right w:val="single" w:color="auto" w:sz="4" w:space="0"/>
            </w:tcBorders>
            <w:shd w:val="clear" w:color="auto" w:fill="auto"/>
            <w:vAlign w:val="center"/>
          </w:tcPr>
          <w:p w14:paraId="3C4A7728">
            <w:pPr>
              <w:widowControl/>
              <w:kinsoku w:val="0"/>
              <w:autoSpaceDE w:val="0"/>
              <w:autoSpaceDN w:val="0"/>
              <w:adjustRightInd w:val="0"/>
              <w:snapToGrid w:val="0"/>
              <w:spacing w:line="500" w:lineRule="exact"/>
              <w:ind w:firstLine="480" w:firstLineChars="200"/>
              <w:textAlignment w:val="baseline"/>
              <w:rPr>
                <w:rFonts w:ascii="宋体" w:hAnsi="宋体" w:cs="宋体"/>
                <w:snapToGrid w:val="0"/>
                <w:color w:val="000000"/>
                <w:kern w:val="0"/>
                <w:sz w:val="24"/>
              </w:rPr>
            </w:pPr>
            <w:r>
              <w:rPr>
                <w:rFonts w:ascii="宋体" w:hAnsi="宋体" w:cs="宋体"/>
                <w:snapToGrid w:val="0"/>
                <w:color w:val="000000"/>
                <w:kern w:val="0"/>
                <w:sz w:val="24"/>
              </w:rPr>
              <w:t>35#</w:t>
            </w:r>
            <w:r>
              <w:rPr>
                <w:rFonts w:hint="eastAsia" w:ascii="宋体" w:hAnsi="宋体" w:cs="宋体"/>
                <w:snapToGrid w:val="0"/>
                <w:color w:val="000000"/>
                <w:kern w:val="0"/>
                <w:sz w:val="24"/>
              </w:rPr>
              <w:t>钢，表面镀铬</w:t>
            </w:r>
          </w:p>
        </w:tc>
      </w:tr>
      <w:tr w14:paraId="5B52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E0D46BB">
            <w:pPr>
              <w:widowControl/>
              <w:kinsoku w:val="0"/>
              <w:autoSpaceDE w:val="0"/>
              <w:autoSpaceDN w:val="0"/>
              <w:adjustRightInd w:val="0"/>
              <w:snapToGrid w:val="0"/>
              <w:spacing w:line="500" w:lineRule="exact"/>
              <w:ind w:firstLine="336" w:firstLineChars="140"/>
              <w:textAlignment w:val="baseline"/>
              <w:rPr>
                <w:rFonts w:ascii="宋体" w:hAnsi="宋体" w:cs="宋体"/>
                <w:snapToGrid w:val="0"/>
                <w:color w:val="000000"/>
                <w:kern w:val="0"/>
                <w:sz w:val="24"/>
              </w:rPr>
            </w:pPr>
            <w:r>
              <w:rPr>
                <w:rFonts w:ascii="宋体" w:hAnsi="宋体" w:cs="宋体"/>
                <w:snapToGrid w:val="0"/>
                <w:color w:val="000000"/>
                <w:kern w:val="0"/>
                <w:sz w:val="24"/>
              </w:rPr>
              <w:t>3</w:t>
            </w:r>
          </w:p>
        </w:tc>
        <w:tc>
          <w:tcPr>
            <w:tcW w:w="4005" w:type="dxa"/>
            <w:tcBorders>
              <w:top w:val="single" w:color="auto" w:sz="4" w:space="0"/>
              <w:left w:val="nil"/>
              <w:bottom w:val="single" w:color="auto" w:sz="4" w:space="0"/>
              <w:right w:val="single" w:color="auto" w:sz="4" w:space="0"/>
            </w:tcBorders>
            <w:shd w:val="clear" w:color="auto" w:fill="auto"/>
            <w:vAlign w:val="center"/>
          </w:tcPr>
          <w:p w14:paraId="6093D1A4">
            <w:pPr>
              <w:widowControl/>
              <w:kinsoku w:val="0"/>
              <w:autoSpaceDE w:val="0"/>
              <w:autoSpaceDN w:val="0"/>
              <w:adjustRightInd w:val="0"/>
              <w:snapToGrid w:val="0"/>
              <w:spacing w:line="500" w:lineRule="exact"/>
              <w:ind w:firstLine="840" w:firstLineChars="350"/>
              <w:textAlignment w:val="baseline"/>
              <w:rPr>
                <w:rFonts w:ascii="宋体" w:hAnsi="宋体" w:cs="宋体"/>
                <w:snapToGrid w:val="0"/>
                <w:color w:val="000000"/>
                <w:kern w:val="0"/>
                <w:sz w:val="24"/>
              </w:rPr>
            </w:pPr>
            <w:r>
              <w:rPr>
                <w:rFonts w:hint="eastAsia" w:ascii="宋体" w:hAnsi="宋体" w:cs="宋体"/>
                <w:snapToGrid w:val="0"/>
                <w:color w:val="000000"/>
                <w:kern w:val="0"/>
                <w:sz w:val="24"/>
              </w:rPr>
              <w:t>阀座、阀杆螺母</w:t>
            </w:r>
          </w:p>
        </w:tc>
        <w:tc>
          <w:tcPr>
            <w:tcW w:w="3105" w:type="dxa"/>
            <w:tcBorders>
              <w:top w:val="single" w:color="auto" w:sz="4" w:space="0"/>
              <w:left w:val="nil"/>
              <w:bottom w:val="single" w:color="auto" w:sz="4" w:space="0"/>
              <w:right w:val="single" w:color="auto" w:sz="4" w:space="0"/>
            </w:tcBorders>
            <w:shd w:val="clear" w:color="auto" w:fill="auto"/>
            <w:vAlign w:val="center"/>
          </w:tcPr>
          <w:p w14:paraId="29BC4038">
            <w:pPr>
              <w:widowControl/>
              <w:kinsoku w:val="0"/>
              <w:autoSpaceDE w:val="0"/>
              <w:autoSpaceDN w:val="0"/>
              <w:adjustRightInd w:val="0"/>
              <w:snapToGrid w:val="0"/>
              <w:spacing w:line="500" w:lineRule="exact"/>
              <w:ind w:firstLine="480" w:firstLineChars="200"/>
              <w:textAlignment w:val="baseline"/>
              <w:rPr>
                <w:rFonts w:ascii="宋体" w:hAnsi="宋体" w:cs="宋体"/>
                <w:snapToGrid w:val="0"/>
                <w:color w:val="000000"/>
                <w:kern w:val="0"/>
                <w:sz w:val="24"/>
              </w:rPr>
            </w:pPr>
            <w:r>
              <w:rPr>
                <w:rFonts w:ascii="宋体" w:hAnsi="宋体" w:cs="宋体"/>
                <w:snapToGrid w:val="0"/>
                <w:color w:val="000000"/>
                <w:kern w:val="0"/>
                <w:sz w:val="24"/>
              </w:rPr>
              <w:t>ZcuZn  38</w:t>
            </w:r>
            <w:r>
              <w:rPr>
                <w:rFonts w:hint="eastAsia" w:ascii="宋体" w:hAnsi="宋体" w:cs="宋体"/>
                <w:snapToGrid w:val="0"/>
                <w:color w:val="000000"/>
                <w:kern w:val="0"/>
                <w:sz w:val="24"/>
              </w:rPr>
              <w:t>铜合金</w:t>
            </w:r>
          </w:p>
        </w:tc>
      </w:tr>
      <w:tr w14:paraId="04CC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A39B67C">
            <w:pPr>
              <w:widowControl/>
              <w:kinsoku w:val="0"/>
              <w:autoSpaceDE w:val="0"/>
              <w:autoSpaceDN w:val="0"/>
              <w:adjustRightInd w:val="0"/>
              <w:snapToGrid w:val="0"/>
              <w:spacing w:line="500" w:lineRule="exact"/>
              <w:ind w:firstLine="336" w:firstLineChars="140"/>
              <w:textAlignment w:val="baseline"/>
              <w:rPr>
                <w:rFonts w:ascii="宋体" w:hAnsi="宋体" w:cs="宋体"/>
                <w:snapToGrid w:val="0"/>
                <w:color w:val="000000"/>
                <w:kern w:val="0"/>
                <w:sz w:val="24"/>
              </w:rPr>
            </w:pPr>
            <w:r>
              <w:rPr>
                <w:rFonts w:ascii="宋体" w:hAnsi="宋体" w:cs="宋体"/>
                <w:snapToGrid w:val="0"/>
                <w:color w:val="000000"/>
                <w:kern w:val="0"/>
                <w:sz w:val="24"/>
              </w:rPr>
              <w:t>4</w:t>
            </w:r>
          </w:p>
        </w:tc>
        <w:tc>
          <w:tcPr>
            <w:tcW w:w="4005" w:type="dxa"/>
            <w:tcBorders>
              <w:top w:val="single" w:color="auto" w:sz="4" w:space="0"/>
              <w:left w:val="nil"/>
              <w:bottom w:val="single" w:color="auto" w:sz="4" w:space="0"/>
              <w:right w:val="single" w:color="auto" w:sz="4" w:space="0"/>
            </w:tcBorders>
            <w:shd w:val="clear" w:color="auto" w:fill="auto"/>
            <w:vAlign w:val="center"/>
          </w:tcPr>
          <w:p w14:paraId="29BD1BFE">
            <w:pPr>
              <w:widowControl/>
              <w:kinsoku w:val="0"/>
              <w:autoSpaceDE w:val="0"/>
              <w:autoSpaceDN w:val="0"/>
              <w:adjustRightInd w:val="0"/>
              <w:snapToGrid w:val="0"/>
              <w:spacing w:line="500" w:lineRule="exact"/>
              <w:ind w:firstLine="840" w:firstLineChars="350"/>
              <w:textAlignment w:val="baseline"/>
              <w:rPr>
                <w:rFonts w:ascii="宋体" w:hAnsi="宋体" w:cs="宋体"/>
                <w:snapToGrid w:val="0"/>
                <w:color w:val="000000"/>
                <w:kern w:val="0"/>
                <w:sz w:val="24"/>
              </w:rPr>
            </w:pPr>
            <w:r>
              <w:rPr>
                <w:rFonts w:hint="eastAsia" w:ascii="宋体" w:hAnsi="宋体" w:cs="宋体"/>
                <w:snapToGrid w:val="0"/>
                <w:color w:val="000000"/>
                <w:kern w:val="0"/>
                <w:sz w:val="24"/>
              </w:rPr>
              <w:t>大出水口、小出水口</w:t>
            </w:r>
          </w:p>
        </w:tc>
        <w:tc>
          <w:tcPr>
            <w:tcW w:w="3105" w:type="dxa"/>
            <w:tcBorders>
              <w:top w:val="single" w:color="auto" w:sz="4" w:space="0"/>
              <w:left w:val="nil"/>
              <w:bottom w:val="single" w:color="auto" w:sz="4" w:space="0"/>
              <w:right w:val="single" w:color="auto" w:sz="4" w:space="0"/>
            </w:tcBorders>
            <w:shd w:val="clear" w:color="auto" w:fill="auto"/>
            <w:vAlign w:val="center"/>
          </w:tcPr>
          <w:p w14:paraId="1C17B0D8">
            <w:pPr>
              <w:widowControl/>
              <w:kinsoku w:val="0"/>
              <w:autoSpaceDE w:val="0"/>
              <w:autoSpaceDN w:val="0"/>
              <w:adjustRightInd w:val="0"/>
              <w:snapToGrid w:val="0"/>
              <w:spacing w:line="500" w:lineRule="exact"/>
              <w:ind w:firstLine="480" w:firstLineChars="200"/>
              <w:textAlignment w:val="baseline"/>
              <w:rPr>
                <w:rFonts w:ascii="宋体" w:hAnsi="宋体" w:cs="宋体"/>
                <w:snapToGrid w:val="0"/>
                <w:color w:val="000000"/>
                <w:kern w:val="0"/>
                <w:sz w:val="24"/>
              </w:rPr>
            </w:pPr>
            <w:r>
              <w:rPr>
                <w:rFonts w:ascii="宋体" w:hAnsi="宋体" w:cs="宋体"/>
                <w:snapToGrid w:val="0"/>
                <w:color w:val="000000"/>
                <w:kern w:val="0"/>
                <w:sz w:val="24"/>
              </w:rPr>
              <w:t>ZHPb59-1</w:t>
            </w:r>
            <w:r>
              <w:rPr>
                <w:rFonts w:hint="eastAsia" w:ascii="宋体" w:hAnsi="宋体" w:cs="宋体"/>
                <w:snapToGrid w:val="0"/>
                <w:color w:val="000000"/>
                <w:kern w:val="0"/>
                <w:sz w:val="24"/>
              </w:rPr>
              <w:t>铅黄铜</w:t>
            </w:r>
          </w:p>
        </w:tc>
      </w:tr>
    </w:tbl>
    <w:p w14:paraId="2DAA578F">
      <w:pPr>
        <w:spacing w:line="480" w:lineRule="exact"/>
        <w:ind w:firstLine="480" w:firstLineChars="200"/>
        <w:rPr>
          <w:rFonts w:hint="eastAsia" w:ascii="宋体" w:hAnsi="宋体" w:cs="宋体"/>
          <w:sz w:val="24"/>
        </w:rPr>
      </w:pPr>
      <w:r>
        <w:rPr>
          <w:rFonts w:hint="eastAsia" w:ascii="宋体" w:hAnsi="宋体" w:cs="宋体"/>
          <w:sz w:val="24"/>
        </w:rPr>
        <w:t>（三）技术要求</w:t>
      </w:r>
    </w:p>
    <w:p w14:paraId="25BDD897">
      <w:pPr>
        <w:spacing w:line="480" w:lineRule="exact"/>
        <w:ind w:firstLine="480" w:firstLineChars="200"/>
        <w:rPr>
          <w:rFonts w:hint="eastAsia" w:ascii="宋体" w:hAnsi="宋体" w:cs="宋体"/>
          <w:sz w:val="24"/>
        </w:rPr>
      </w:pPr>
      <w:r>
        <w:rPr>
          <w:rFonts w:hint="eastAsia" w:ascii="宋体" w:hAnsi="宋体" w:cs="宋体"/>
          <w:sz w:val="24"/>
        </w:rPr>
        <w:t>3.1消火栓的设计制造应符合GB4452-2011国家标准的规定，并规范性引用文件。</w:t>
      </w:r>
    </w:p>
    <w:p w14:paraId="5D1412EF">
      <w:pPr>
        <w:spacing w:line="480" w:lineRule="exact"/>
        <w:ind w:firstLine="480" w:firstLineChars="200"/>
        <w:rPr>
          <w:rFonts w:hint="eastAsia" w:ascii="宋体" w:hAnsi="宋体" w:cs="宋体"/>
          <w:sz w:val="24"/>
        </w:rPr>
      </w:pPr>
      <w:r>
        <w:rPr>
          <w:rFonts w:hint="eastAsia" w:ascii="宋体" w:hAnsi="宋体" w:cs="宋体"/>
          <w:sz w:val="24"/>
        </w:rPr>
        <w:t>GB/T197-2018普通螺纹公差</w:t>
      </w:r>
    </w:p>
    <w:p w14:paraId="45351355">
      <w:pPr>
        <w:spacing w:line="480" w:lineRule="exact"/>
        <w:ind w:firstLine="480" w:firstLineChars="200"/>
        <w:rPr>
          <w:rFonts w:hint="eastAsia" w:ascii="宋体" w:hAnsi="宋体" w:cs="宋体"/>
          <w:sz w:val="24"/>
        </w:rPr>
      </w:pPr>
      <w:r>
        <w:rPr>
          <w:rFonts w:hint="eastAsia" w:ascii="宋体" w:hAnsi="宋体" w:cs="宋体"/>
          <w:sz w:val="24"/>
        </w:rPr>
        <w:t>GB/T230.1-2018金属材料 洛氏硬度试验 第1部分：试验方法</w:t>
      </w:r>
    </w:p>
    <w:p w14:paraId="106F3B09">
      <w:pPr>
        <w:spacing w:line="480" w:lineRule="exact"/>
        <w:ind w:firstLine="480" w:firstLineChars="200"/>
        <w:rPr>
          <w:rFonts w:hint="eastAsia" w:ascii="宋体" w:hAnsi="宋体" w:cs="宋体"/>
          <w:sz w:val="24"/>
        </w:rPr>
      </w:pPr>
      <w:r>
        <w:rPr>
          <w:rFonts w:hint="eastAsia" w:ascii="宋体" w:hAnsi="宋体" w:cs="宋体"/>
          <w:sz w:val="24"/>
        </w:rPr>
        <w:t>GB/T699-2015优质碳素结构钢</w:t>
      </w:r>
    </w:p>
    <w:p w14:paraId="49DC1CC7">
      <w:pPr>
        <w:spacing w:line="480" w:lineRule="exact"/>
        <w:ind w:firstLine="480" w:firstLineChars="200"/>
        <w:rPr>
          <w:rFonts w:hint="eastAsia" w:ascii="宋体" w:hAnsi="宋体" w:cs="宋体"/>
          <w:sz w:val="24"/>
        </w:rPr>
      </w:pPr>
      <w:r>
        <w:rPr>
          <w:rFonts w:hint="eastAsia" w:ascii="宋体" w:hAnsi="宋体" w:cs="宋体"/>
          <w:sz w:val="24"/>
        </w:rPr>
        <w:t>GB/T1176-2013铸造铜及铜合金</w:t>
      </w:r>
    </w:p>
    <w:p w14:paraId="639CD201">
      <w:pPr>
        <w:spacing w:line="480" w:lineRule="exact"/>
        <w:ind w:firstLine="480" w:firstLineChars="200"/>
        <w:rPr>
          <w:rFonts w:hint="eastAsia" w:ascii="宋体" w:hAnsi="宋体" w:cs="宋体"/>
          <w:sz w:val="24"/>
        </w:rPr>
      </w:pPr>
      <w:r>
        <w:rPr>
          <w:rFonts w:hint="eastAsia" w:ascii="宋体" w:hAnsi="宋体" w:cs="宋体"/>
          <w:sz w:val="24"/>
        </w:rPr>
        <w:t>GB/T1348-2019球墨铸铁件</w:t>
      </w:r>
    </w:p>
    <w:p w14:paraId="4854E2DA">
      <w:pPr>
        <w:spacing w:line="480" w:lineRule="exact"/>
        <w:ind w:firstLine="480" w:firstLineChars="200"/>
        <w:rPr>
          <w:rFonts w:hint="eastAsia" w:ascii="宋体" w:hAnsi="宋体" w:cs="宋体"/>
          <w:sz w:val="24"/>
        </w:rPr>
      </w:pPr>
      <w:r>
        <w:rPr>
          <w:rFonts w:hint="eastAsia" w:ascii="宋体" w:hAnsi="宋体" w:cs="宋体"/>
          <w:sz w:val="24"/>
        </w:rPr>
        <w:t>GB/T1804-2000一般公差 未注公差的线性和角度尺寸的公差</w:t>
      </w:r>
    </w:p>
    <w:p w14:paraId="07EE19FE">
      <w:pPr>
        <w:spacing w:line="480" w:lineRule="exact"/>
        <w:ind w:firstLine="480" w:firstLineChars="200"/>
        <w:rPr>
          <w:rFonts w:hint="eastAsia" w:ascii="宋体" w:hAnsi="宋体" w:cs="宋体"/>
          <w:sz w:val="24"/>
        </w:rPr>
      </w:pPr>
      <w:r>
        <w:rPr>
          <w:rFonts w:hint="eastAsia" w:ascii="宋体" w:hAnsi="宋体" w:cs="宋体"/>
          <w:sz w:val="24"/>
        </w:rPr>
        <w:t>GB/T7307-2001  55°非密封管螺纹</w:t>
      </w:r>
    </w:p>
    <w:p w14:paraId="438F7F13">
      <w:pPr>
        <w:spacing w:line="480" w:lineRule="exact"/>
        <w:ind w:firstLine="480" w:firstLineChars="200"/>
        <w:rPr>
          <w:rFonts w:hint="eastAsia" w:ascii="宋体" w:hAnsi="宋体" w:cs="宋体"/>
          <w:sz w:val="24"/>
        </w:rPr>
      </w:pPr>
      <w:r>
        <w:rPr>
          <w:rFonts w:hint="eastAsia" w:ascii="宋体" w:hAnsi="宋体" w:cs="宋体"/>
          <w:sz w:val="24"/>
        </w:rPr>
        <w:t>GB/T9439-2023灰铸铁件</w:t>
      </w:r>
    </w:p>
    <w:p w14:paraId="1D03AEBC">
      <w:pPr>
        <w:spacing w:line="480" w:lineRule="exact"/>
        <w:ind w:firstLine="480" w:firstLineChars="200"/>
        <w:rPr>
          <w:rFonts w:hint="eastAsia" w:ascii="宋体" w:hAnsi="宋体" w:cs="宋体"/>
          <w:sz w:val="24"/>
        </w:rPr>
      </w:pPr>
      <w:r>
        <w:rPr>
          <w:rFonts w:hint="eastAsia" w:ascii="宋体" w:hAnsi="宋体" w:cs="宋体"/>
          <w:sz w:val="24"/>
        </w:rPr>
        <w:t>GB 12514.1-2005消防接口第1部分：消防接口通用技术条件</w:t>
      </w:r>
    </w:p>
    <w:p w14:paraId="5E541A54">
      <w:pPr>
        <w:spacing w:line="480" w:lineRule="exact"/>
        <w:ind w:firstLine="480" w:firstLineChars="200"/>
        <w:rPr>
          <w:rFonts w:hint="eastAsia" w:ascii="宋体" w:hAnsi="宋体" w:cs="宋体"/>
          <w:sz w:val="24"/>
        </w:rPr>
      </w:pPr>
      <w:r>
        <w:rPr>
          <w:rFonts w:hint="eastAsia" w:ascii="宋体" w:hAnsi="宋体" w:cs="宋体"/>
          <w:sz w:val="24"/>
        </w:rPr>
        <w:t>GB 12514.2-2006消防接口第2部分：内扣式消防接口型式和基本参数</w:t>
      </w:r>
    </w:p>
    <w:p w14:paraId="4D2D77D5">
      <w:pPr>
        <w:spacing w:line="480" w:lineRule="exact"/>
        <w:ind w:firstLine="480" w:firstLineChars="200"/>
        <w:rPr>
          <w:rFonts w:hint="eastAsia" w:ascii="宋体" w:hAnsi="宋体" w:cs="宋体"/>
          <w:sz w:val="24"/>
        </w:rPr>
      </w:pPr>
      <w:r>
        <w:rPr>
          <w:rFonts w:hint="eastAsia" w:ascii="宋体" w:hAnsi="宋体" w:cs="宋体"/>
          <w:sz w:val="24"/>
        </w:rPr>
        <w:t>3.2消火栓公称通径为100毫米，公称压力: PN16,强度试验为公称压力的1.5倍。</w:t>
      </w:r>
    </w:p>
    <w:p w14:paraId="32DA1F8F">
      <w:pPr>
        <w:spacing w:line="480" w:lineRule="exact"/>
        <w:ind w:firstLine="480" w:firstLineChars="200"/>
        <w:rPr>
          <w:rFonts w:hint="eastAsia" w:ascii="宋体" w:hAnsi="宋体" w:cs="宋体"/>
          <w:sz w:val="24"/>
        </w:rPr>
      </w:pPr>
      <w:r>
        <w:rPr>
          <w:rFonts w:hint="eastAsia" w:ascii="宋体" w:hAnsi="宋体" w:cs="宋体"/>
          <w:sz w:val="24"/>
        </w:rPr>
        <w:t>3.3消火栓适用介质：消防管网中的水,介质温度≤65℃；</w:t>
      </w:r>
    </w:p>
    <w:p w14:paraId="30556ADE">
      <w:pPr>
        <w:spacing w:line="480" w:lineRule="exact"/>
        <w:ind w:firstLine="480" w:firstLineChars="200"/>
        <w:rPr>
          <w:rFonts w:hint="eastAsia" w:ascii="宋体" w:hAnsi="宋体" w:cs="宋体"/>
          <w:sz w:val="24"/>
        </w:rPr>
      </w:pPr>
      <w:r>
        <w:rPr>
          <w:rFonts w:hint="eastAsia" w:ascii="宋体" w:hAnsi="宋体" w:cs="宋体"/>
          <w:sz w:val="24"/>
        </w:rPr>
        <w:t>3.4消火栓采用法兰连接。</w:t>
      </w:r>
    </w:p>
    <w:p w14:paraId="513D6236">
      <w:pPr>
        <w:spacing w:line="480" w:lineRule="exact"/>
        <w:ind w:firstLine="480" w:firstLineChars="200"/>
        <w:rPr>
          <w:rFonts w:hint="eastAsia" w:ascii="宋体" w:hAnsi="宋体" w:cs="宋体"/>
          <w:sz w:val="24"/>
        </w:rPr>
      </w:pPr>
      <w:r>
        <w:rPr>
          <w:rFonts w:hint="eastAsia" w:ascii="宋体" w:hAnsi="宋体" w:cs="宋体"/>
          <w:sz w:val="24"/>
        </w:rPr>
        <w:t>法兰式消火栓的法兰连接尺寸应符合图1和表1的规定</w:t>
      </w:r>
    </w:p>
    <w:p w14:paraId="4EEBBA90">
      <w:pPr>
        <w:spacing w:line="480" w:lineRule="exact"/>
        <w:ind w:firstLine="480" w:firstLineChars="200"/>
        <w:rPr>
          <w:rFonts w:hint="eastAsia" w:ascii="宋体" w:hAnsi="宋体" w:cs="宋体"/>
          <w:sz w:val="24"/>
        </w:rPr>
      </w:pPr>
      <w:r>
        <w:rPr>
          <w:rFonts w:hint="eastAsia" w:ascii="宋体" w:hAnsi="宋体" w:cs="宋体"/>
          <w:sz w:val="24"/>
        </w:rPr>
        <w:drawing>
          <wp:anchor distT="0" distB="0" distL="114300" distR="114300" simplePos="0" relativeHeight="251659264" behindDoc="0" locked="0" layoutInCell="1" allowOverlap="1">
            <wp:simplePos x="0" y="0"/>
            <wp:positionH relativeFrom="column">
              <wp:posOffset>904875</wp:posOffset>
            </wp:positionH>
            <wp:positionV relativeFrom="paragraph">
              <wp:posOffset>361950</wp:posOffset>
            </wp:positionV>
            <wp:extent cx="1876425" cy="1733550"/>
            <wp:effectExtent l="19050" t="0" r="9525" b="0"/>
            <wp:wrapSquare wrapText="bothSides"/>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4"/>
                    <a:stretch>
                      <a:fillRect/>
                    </a:stretch>
                  </pic:blipFill>
                  <pic:spPr>
                    <a:xfrm>
                      <a:off x="0" y="0"/>
                      <a:ext cx="1876425" cy="1733550"/>
                    </a:xfrm>
                    <a:prstGeom prst="rect">
                      <a:avLst/>
                    </a:prstGeom>
                    <a:noFill/>
                    <a:ln w="9525">
                      <a:noFill/>
                    </a:ln>
                  </pic:spPr>
                </pic:pic>
              </a:graphicData>
            </a:graphic>
          </wp:anchor>
        </w:drawing>
      </w:r>
      <w:r>
        <w:rPr>
          <w:rFonts w:hint="eastAsia" w:ascii="宋体" w:hAnsi="宋体" w:cs="宋体"/>
          <w:sz w:val="24"/>
        </w:rPr>
        <w:t>图1</w:t>
      </w:r>
    </w:p>
    <w:p w14:paraId="159790E3">
      <w:pPr>
        <w:spacing w:line="480" w:lineRule="exact"/>
        <w:rPr>
          <w:rFonts w:ascii="宋体" w:hAnsi="宋体" w:cs="宋体"/>
          <w:sz w:val="24"/>
        </w:rPr>
      </w:pPr>
    </w:p>
    <w:p w14:paraId="09A05017">
      <w:pPr>
        <w:spacing w:line="480" w:lineRule="exact"/>
        <w:ind w:firstLine="480" w:firstLineChars="200"/>
        <w:rPr>
          <w:rFonts w:hint="eastAsia" w:ascii="宋体" w:hAnsi="宋体" w:cs="宋体"/>
          <w:sz w:val="24"/>
        </w:rPr>
      </w:pPr>
    </w:p>
    <w:p w14:paraId="58660626">
      <w:pPr>
        <w:spacing w:line="480" w:lineRule="exact"/>
        <w:ind w:firstLine="480" w:firstLineChars="200"/>
        <w:rPr>
          <w:rFonts w:hint="eastAsia" w:ascii="宋体" w:hAnsi="宋体" w:cs="宋体"/>
          <w:sz w:val="24"/>
        </w:rPr>
      </w:pPr>
    </w:p>
    <w:p w14:paraId="4623BB94">
      <w:pPr>
        <w:spacing w:line="480" w:lineRule="exact"/>
        <w:ind w:firstLine="480" w:firstLineChars="200"/>
        <w:rPr>
          <w:rFonts w:hint="eastAsia" w:ascii="宋体" w:hAnsi="宋体" w:cs="宋体"/>
          <w:sz w:val="24"/>
        </w:rPr>
      </w:pPr>
    </w:p>
    <w:p w14:paraId="230C8688">
      <w:pPr>
        <w:spacing w:line="480" w:lineRule="exact"/>
        <w:ind w:firstLine="480" w:firstLineChars="200"/>
        <w:rPr>
          <w:rFonts w:hint="eastAsia" w:ascii="宋体" w:hAnsi="宋体" w:cs="宋体"/>
          <w:sz w:val="24"/>
        </w:rPr>
      </w:pPr>
    </w:p>
    <w:p w14:paraId="3BC14E34">
      <w:pPr>
        <w:spacing w:line="480" w:lineRule="exact"/>
        <w:ind w:firstLine="480" w:firstLineChars="200"/>
        <w:rPr>
          <w:rFonts w:hint="eastAsia" w:ascii="宋体" w:hAnsi="宋体" w:cs="宋体"/>
          <w:sz w:val="24"/>
        </w:rPr>
      </w:pPr>
    </w:p>
    <w:p w14:paraId="2B4F7470">
      <w:pPr>
        <w:spacing w:line="480" w:lineRule="exact"/>
        <w:ind w:firstLine="480" w:firstLineChars="200"/>
        <w:rPr>
          <w:rFonts w:ascii="宋体" w:hAnsi="宋体" w:cs="宋体"/>
          <w:sz w:val="24"/>
        </w:rPr>
      </w:pPr>
      <w:r>
        <w:rPr>
          <w:rFonts w:hint="eastAsia" w:ascii="宋体" w:hAnsi="宋体" w:cs="宋体"/>
          <w:sz w:val="24"/>
        </w:rPr>
        <w:t>表1</w:t>
      </w:r>
    </w:p>
    <w:tbl>
      <w:tblPr>
        <w:tblStyle w:val="7"/>
        <w:tblW w:w="48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072"/>
        <w:gridCol w:w="1168"/>
        <w:gridCol w:w="1078"/>
        <w:gridCol w:w="1137"/>
        <w:gridCol w:w="1119"/>
        <w:gridCol w:w="1108"/>
        <w:gridCol w:w="741"/>
      </w:tblGrid>
      <w:tr w14:paraId="15E0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756158">
            <w:pPr>
              <w:widowControl/>
              <w:kinsoku w:val="0"/>
              <w:autoSpaceDE w:val="0"/>
              <w:autoSpaceDN w:val="0"/>
              <w:adjustRightInd w:val="0"/>
              <w:snapToGrid w:val="0"/>
              <w:spacing w:line="500" w:lineRule="exact"/>
              <w:jc w:val="center"/>
              <w:textAlignment w:val="baseline"/>
              <w:rPr>
                <w:rFonts w:ascii="宋体" w:hAnsi="宋体" w:cs="宋体"/>
                <w:snapToGrid w:val="0"/>
                <w:color w:val="000000"/>
                <w:kern w:val="0"/>
                <w:sz w:val="24"/>
              </w:rPr>
            </w:pPr>
            <w:r>
              <w:rPr>
                <w:rFonts w:hint="eastAsia" w:ascii="宋体" w:hAnsi="宋体" w:cs="宋体"/>
                <w:snapToGrid w:val="0"/>
                <w:color w:val="000000"/>
                <w:kern w:val="0"/>
                <w:sz w:val="24"/>
              </w:rPr>
              <w:t>进水口</w:t>
            </w:r>
          </w:p>
          <w:p w14:paraId="47EDDD61">
            <w:pPr>
              <w:widowControl/>
              <w:kinsoku w:val="0"/>
              <w:autoSpaceDE w:val="0"/>
              <w:autoSpaceDN w:val="0"/>
              <w:adjustRightInd w:val="0"/>
              <w:snapToGrid w:val="0"/>
              <w:spacing w:line="500" w:lineRule="exact"/>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公称通径</w:t>
            </w:r>
          </w:p>
        </w:tc>
        <w:tc>
          <w:tcPr>
            <w:tcW w:w="2215" w:type="dxa"/>
            <w:gridSpan w:val="2"/>
            <w:tcBorders>
              <w:top w:val="single" w:color="auto" w:sz="4" w:space="0"/>
              <w:left w:val="nil"/>
              <w:bottom w:val="single" w:color="auto" w:sz="4" w:space="0"/>
              <w:right w:val="single" w:color="auto" w:sz="4" w:space="0"/>
            </w:tcBorders>
            <w:shd w:val="clear" w:color="auto" w:fill="auto"/>
            <w:vAlign w:val="center"/>
          </w:tcPr>
          <w:p w14:paraId="13EF3914">
            <w:pPr>
              <w:widowControl/>
              <w:kinsoku w:val="0"/>
              <w:autoSpaceDE w:val="0"/>
              <w:autoSpaceDN w:val="0"/>
              <w:adjustRightInd w:val="0"/>
              <w:snapToGrid w:val="0"/>
              <w:spacing w:line="500" w:lineRule="exact"/>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法兰外径</w:t>
            </w:r>
            <w:r>
              <w:rPr>
                <w:rFonts w:ascii="宋体" w:hAnsi="宋体" w:cs="宋体"/>
                <w:snapToGrid w:val="0"/>
                <w:color w:val="000000"/>
                <w:kern w:val="0"/>
                <w:sz w:val="24"/>
              </w:rPr>
              <w:t>D</w:t>
            </w:r>
          </w:p>
        </w:tc>
        <w:tc>
          <w:tcPr>
            <w:tcW w:w="2190" w:type="dxa"/>
            <w:gridSpan w:val="2"/>
            <w:tcBorders>
              <w:top w:val="single" w:color="auto" w:sz="4" w:space="0"/>
              <w:left w:val="nil"/>
              <w:bottom w:val="single" w:color="auto" w:sz="4" w:space="0"/>
              <w:right w:val="single" w:color="auto" w:sz="4" w:space="0"/>
            </w:tcBorders>
            <w:shd w:val="clear" w:color="auto" w:fill="auto"/>
            <w:vAlign w:val="center"/>
          </w:tcPr>
          <w:p w14:paraId="027DE83C">
            <w:pPr>
              <w:widowControl/>
              <w:kinsoku w:val="0"/>
              <w:autoSpaceDE w:val="0"/>
              <w:autoSpaceDN w:val="0"/>
              <w:adjustRightInd w:val="0"/>
              <w:snapToGrid w:val="0"/>
              <w:spacing w:line="500" w:lineRule="exact"/>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螺栓孔中心圆直径</w:t>
            </w:r>
            <w:r>
              <w:rPr>
                <w:rFonts w:ascii="宋体" w:hAnsi="宋体" w:cs="宋体"/>
                <w:snapToGrid w:val="0"/>
                <w:color w:val="000000"/>
                <w:kern w:val="0"/>
                <w:sz w:val="24"/>
              </w:rPr>
              <w:t>D1</w:t>
            </w:r>
          </w:p>
        </w:tc>
        <w:tc>
          <w:tcPr>
            <w:tcW w:w="2201" w:type="dxa"/>
            <w:gridSpan w:val="2"/>
            <w:tcBorders>
              <w:top w:val="single" w:color="auto" w:sz="4" w:space="0"/>
              <w:left w:val="nil"/>
              <w:bottom w:val="single" w:color="auto" w:sz="4" w:space="0"/>
              <w:right w:val="single" w:color="auto" w:sz="4" w:space="0"/>
            </w:tcBorders>
            <w:shd w:val="clear" w:color="auto" w:fill="auto"/>
            <w:vAlign w:val="center"/>
          </w:tcPr>
          <w:p w14:paraId="471388A8">
            <w:pPr>
              <w:widowControl/>
              <w:kinsoku w:val="0"/>
              <w:autoSpaceDE w:val="0"/>
              <w:autoSpaceDN w:val="0"/>
              <w:adjustRightInd w:val="0"/>
              <w:snapToGrid w:val="0"/>
              <w:spacing w:line="500" w:lineRule="exact"/>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螺栓孔直径</w:t>
            </w:r>
            <w:r>
              <w:rPr>
                <w:rFonts w:ascii="宋体" w:hAnsi="宋体" w:cs="宋体"/>
                <w:snapToGrid w:val="0"/>
                <w:color w:val="000000"/>
                <w:kern w:val="0"/>
                <w:sz w:val="24"/>
              </w:rPr>
              <w:t>d</w:t>
            </w:r>
          </w:p>
        </w:tc>
        <w:tc>
          <w:tcPr>
            <w:tcW w:w="733" w:type="dxa"/>
            <w:vMerge w:val="restart"/>
            <w:tcBorders>
              <w:top w:val="single" w:color="auto" w:sz="4" w:space="0"/>
              <w:left w:val="nil"/>
              <w:bottom w:val="single" w:color="auto" w:sz="4" w:space="0"/>
              <w:right w:val="single" w:color="auto" w:sz="4" w:space="0"/>
            </w:tcBorders>
            <w:shd w:val="clear" w:color="auto" w:fill="auto"/>
            <w:vAlign w:val="center"/>
          </w:tcPr>
          <w:p w14:paraId="0BEF1381">
            <w:pPr>
              <w:widowControl/>
              <w:kinsoku w:val="0"/>
              <w:autoSpaceDE w:val="0"/>
              <w:autoSpaceDN w:val="0"/>
              <w:adjustRightInd w:val="0"/>
              <w:snapToGrid w:val="0"/>
              <w:spacing w:line="500" w:lineRule="exact"/>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螺栓数</w:t>
            </w:r>
            <w:r>
              <w:rPr>
                <w:rFonts w:ascii="宋体" w:hAnsi="宋体" w:cs="宋体"/>
                <w:snapToGrid w:val="0"/>
                <w:color w:val="000000"/>
                <w:kern w:val="0"/>
                <w:sz w:val="24"/>
              </w:rPr>
              <w:t>/</w:t>
            </w:r>
            <w:r>
              <w:rPr>
                <w:rFonts w:hint="eastAsia" w:ascii="宋体" w:hAnsi="宋体" w:cs="宋体"/>
                <w:snapToGrid w:val="0"/>
                <w:color w:val="000000"/>
                <w:kern w:val="0"/>
                <w:sz w:val="24"/>
              </w:rPr>
              <w:t>个</w:t>
            </w:r>
          </w:p>
        </w:tc>
      </w:tr>
      <w:tr w14:paraId="07A2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2D89F">
            <w:pPr>
              <w:widowControl/>
              <w:kinsoku w:val="0"/>
              <w:autoSpaceDE w:val="0"/>
              <w:autoSpaceDN w:val="0"/>
              <w:adjustRightInd w:val="0"/>
              <w:snapToGrid w:val="0"/>
              <w:spacing w:line="500" w:lineRule="exact"/>
              <w:jc w:val="left"/>
              <w:textAlignment w:val="baseline"/>
              <w:rPr>
                <w:rFonts w:ascii="宋体" w:hAnsi="宋体" w:cs="宋体"/>
                <w:snapToGrid w:val="0"/>
                <w:color w:val="000000"/>
                <w:kern w:val="0"/>
                <w:sz w:val="24"/>
              </w:rPr>
            </w:pPr>
          </w:p>
        </w:tc>
        <w:tc>
          <w:tcPr>
            <w:tcW w:w="1060" w:type="dxa"/>
            <w:tcBorders>
              <w:top w:val="single" w:color="auto" w:sz="4" w:space="0"/>
              <w:left w:val="nil"/>
              <w:bottom w:val="single" w:color="auto" w:sz="4" w:space="0"/>
              <w:right w:val="single" w:color="auto" w:sz="4" w:space="0"/>
            </w:tcBorders>
            <w:shd w:val="clear" w:color="auto" w:fill="auto"/>
            <w:vAlign w:val="center"/>
          </w:tcPr>
          <w:p w14:paraId="3BFA4293">
            <w:pPr>
              <w:widowControl/>
              <w:kinsoku w:val="0"/>
              <w:autoSpaceDE w:val="0"/>
              <w:autoSpaceDN w:val="0"/>
              <w:adjustRightInd w:val="0"/>
              <w:snapToGrid w:val="0"/>
              <w:spacing w:line="500" w:lineRule="exact"/>
              <w:ind w:right="-214" w:rightChars="-102"/>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基本尺寸</w:t>
            </w:r>
          </w:p>
        </w:tc>
        <w:tc>
          <w:tcPr>
            <w:tcW w:w="1155" w:type="dxa"/>
            <w:tcBorders>
              <w:top w:val="single" w:color="auto" w:sz="4" w:space="0"/>
              <w:left w:val="nil"/>
              <w:bottom w:val="single" w:color="auto" w:sz="4" w:space="0"/>
              <w:right w:val="single" w:color="auto" w:sz="4" w:space="0"/>
            </w:tcBorders>
            <w:shd w:val="clear" w:color="auto" w:fill="auto"/>
            <w:vAlign w:val="center"/>
          </w:tcPr>
          <w:p w14:paraId="1ACEF121">
            <w:pPr>
              <w:widowControl/>
              <w:kinsoku w:val="0"/>
              <w:autoSpaceDE w:val="0"/>
              <w:autoSpaceDN w:val="0"/>
              <w:adjustRightInd w:val="0"/>
              <w:snapToGrid w:val="0"/>
              <w:spacing w:line="500" w:lineRule="exact"/>
              <w:ind w:right="-181" w:rightChars="-86"/>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极限偏差</w:t>
            </w:r>
          </w:p>
        </w:tc>
        <w:tc>
          <w:tcPr>
            <w:tcW w:w="1066" w:type="dxa"/>
            <w:tcBorders>
              <w:top w:val="single" w:color="auto" w:sz="4" w:space="0"/>
              <w:left w:val="nil"/>
              <w:bottom w:val="single" w:color="auto" w:sz="4" w:space="0"/>
              <w:right w:val="single" w:color="auto" w:sz="4" w:space="0"/>
            </w:tcBorders>
            <w:shd w:val="clear" w:color="auto" w:fill="auto"/>
            <w:vAlign w:val="center"/>
          </w:tcPr>
          <w:p w14:paraId="5999E36E">
            <w:pPr>
              <w:widowControl/>
              <w:kinsoku w:val="0"/>
              <w:autoSpaceDE w:val="0"/>
              <w:autoSpaceDN w:val="0"/>
              <w:adjustRightInd w:val="0"/>
              <w:snapToGrid w:val="0"/>
              <w:spacing w:line="500" w:lineRule="exact"/>
              <w:ind w:right="-378" w:rightChars="-180"/>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基本尺寸</w:t>
            </w:r>
          </w:p>
        </w:tc>
        <w:tc>
          <w:tcPr>
            <w:tcW w:w="1124" w:type="dxa"/>
            <w:tcBorders>
              <w:top w:val="single" w:color="auto" w:sz="4" w:space="0"/>
              <w:left w:val="nil"/>
              <w:bottom w:val="single" w:color="auto" w:sz="4" w:space="0"/>
              <w:right w:val="single" w:color="auto" w:sz="4" w:space="0"/>
            </w:tcBorders>
            <w:shd w:val="clear" w:color="auto" w:fill="auto"/>
            <w:vAlign w:val="center"/>
          </w:tcPr>
          <w:p w14:paraId="2462FB8D">
            <w:pPr>
              <w:widowControl/>
              <w:kinsoku w:val="0"/>
              <w:autoSpaceDE w:val="0"/>
              <w:autoSpaceDN w:val="0"/>
              <w:adjustRightInd w:val="0"/>
              <w:snapToGrid w:val="0"/>
              <w:spacing w:line="500" w:lineRule="exact"/>
              <w:ind w:right="-90" w:rightChars="-43"/>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极限偏差</w:t>
            </w:r>
          </w:p>
        </w:tc>
        <w:tc>
          <w:tcPr>
            <w:tcW w:w="1106" w:type="dxa"/>
            <w:tcBorders>
              <w:top w:val="single" w:color="auto" w:sz="4" w:space="0"/>
              <w:left w:val="nil"/>
              <w:bottom w:val="single" w:color="auto" w:sz="4" w:space="0"/>
              <w:right w:val="single" w:color="auto" w:sz="4" w:space="0"/>
            </w:tcBorders>
            <w:shd w:val="clear" w:color="auto" w:fill="auto"/>
            <w:vAlign w:val="center"/>
          </w:tcPr>
          <w:p w14:paraId="1C2FA640">
            <w:pPr>
              <w:widowControl/>
              <w:kinsoku w:val="0"/>
              <w:autoSpaceDE w:val="0"/>
              <w:autoSpaceDN w:val="0"/>
              <w:adjustRightInd w:val="0"/>
              <w:snapToGrid w:val="0"/>
              <w:spacing w:line="500" w:lineRule="exact"/>
              <w:ind w:right="-248" w:rightChars="-118"/>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基本尺寸</w:t>
            </w:r>
          </w:p>
        </w:tc>
        <w:tc>
          <w:tcPr>
            <w:tcW w:w="1095" w:type="dxa"/>
            <w:tcBorders>
              <w:top w:val="single" w:color="auto" w:sz="4" w:space="0"/>
              <w:left w:val="nil"/>
              <w:bottom w:val="single" w:color="auto" w:sz="4" w:space="0"/>
              <w:right w:val="single" w:color="auto" w:sz="4" w:space="0"/>
            </w:tcBorders>
            <w:shd w:val="clear" w:color="auto" w:fill="auto"/>
            <w:vAlign w:val="center"/>
          </w:tcPr>
          <w:p w14:paraId="45E4AFD6">
            <w:pPr>
              <w:widowControl/>
              <w:kinsoku w:val="0"/>
              <w:autoSpaceDE w:val="0"/>
              <w:autoSpaceDN w:val="0"/>
              <w:adjustRightInd w:val="0"/>
              <w:snapToGrid w:val="0"/>
              <w:spacing w:line="500" w:lineRule="exact"/>
              <w:ind w:right="-132" w:rightChars="-63"/>
              <w:jc w:val="left"/>
              <w:textAlignment w:val="baseline"/>
              <w:rPr>
                <w:rFonts w:ascii="宋体" w:hAnsi="宋体" w:cs="宋体"/>
                <w:snapToGrid w:val="0"/>
                <w:color w:val="000000"/>
                <w:kern w:val="0"/>
                <w:sz w:val="24"/>
              </w:rPr>
            </w:pPr>
            <w:r>
              <w:rPr>
                <w:rFonts w:hint="eastAsia" w:ascii="宋体" w:hAnsi="宋体" w:cs="宋体"/>
                <w:snapToGrid w:val="0"/>
                <w:color w:val="000000"/>
                <w:kern w:val="0"/>
                <w:sz w:val="24"/>
              </w:rPr>
              <w:t>极限偏差</w:t>
            </w:r>
          </w:p>
        </w:tc>
        <w:tc>
          <w:tcPr>
            <w:tcW w:w="733" w:type="dxa"/>
            <w:vMerge w:val="continue"/>
            <w:tcBorders>
              <w:top w:val="single" w:color="auto" w:sz="4" w:space="0"/>
              <w:left w:val="nil"/>
              <w:bottom w:val="single" w:color="auto" w:sz="4" w:space="0"/>
              <w:right w:val="single" w:color="auto" w:sz="4" w:space="0"/>
            </w:tcBorders>
            <w:shd w:val="clear" w:color="auto" w:fill="auto"/>
            <w:vAlign w:val="center"/>
          </w:tcPr>
          <w:p w14:paraId="3CDD3715">
            <w:pPr>
              <w:widowControl/>
              <w:kinsoku w:val="0"/>
              <w:autoSpaceDE w:val="0"/>
              <w:autoSpaceDN w:val="0"/>
              <w:adjustRightInd w:val="0"/>
              <w:snapToGrid w:val="0"/>
              <w:spacing w:line="500" w:lineRule="exact"/>
              <w:jc w:val="left"/>
              <w:textAlignment w:val="baseline"/>
              <w:rPr>
                <w:rFonts w:ascii="宋体" w:hAnsi="宋体" w:cs="宋体"/>
                <w:snapToGrid w:val="0"/>
                <w:color w:val="000000"/>
                <w:kern w:val="0"/>
                <w:sz w:val="24"/>
              </w:rPr>
            </w:pPr>
          </w:p>
        </w:tc>
      </w:tr>
      <w:tr w14:paraId="3523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4335A2F9">
            <w:pPr>
              <w:widowControl/>
              <w:kinsoku w:val="0"/>
              <w:autoSpaceDE w:val="0"/>
              <w:autoSpaceDN w:val="0"/>
              <w:adjustRightInd w:val="0"/>
              <w:snapToGrid w:val="0"/>
              <w:spacing w:line="500" w:lineRule="exact"/>
              <w:jc w:val="center"/>
              <w:textAlignment w:val="baseline"/>
              <w:rPr>
                <w:rFonts w:ascii="宋体" w:hAnsi="宋体" w:cs="宋体"/>
                <w:snapToGrid w:val="0"/>
                <w:color w:val="000000"/>
                <w:kern w:val="0"/>
                <w:sz w:val="24"/>
              </w:rPr>
            </w:pPr>
            <w:r>
              <w:rPr>
                <w:rFonts w:ascii="宋体" w:hAnsi="宋体" w:cs="宋体"/>
                <w:snapToGrid w:val="0"/>
                <w:color w:val="000000"/>
                <w:kern w:val="0"/>
                <w:sz w:val="24"/>
              </w:rPr>
              <w:t>100</w:t>
            </w:r>
          </w:p>
        </w:tc>
        <w:tc>
          <w:tcPr>
            <w:tcW w:w="1060" w:type="dxa"/>
            <w:tcBorders>
              <w:top w:val="single" w:color="auto" w:sz="4" w:space="0"/>
              <w:left w:val="nil"/>
              <w:bottom w:val="single" w:color="auto" w:sz="4" w:space="0"/>
              <w:right w:val="single" w:color="auto" w:sz="4" w:space="0"/>
            </w:tcBorders>
            <w:shd w:val="clear" w:color="auto" w:fill="auto"/>
            <w:vAlign w:val="center"/>
          </w:tcPr>
          <w:p w14:paraId="3333E652">
            <w:pPr>
              <w:widowControl/>
              <w:kinsoku w:val="0"/>
              <w:autoSpaceDE w:val="0"/>
              <w:autoSpaceDN w:val="0"/>
              <w:adjustRightInd w:val="0"/>
              <w:snapToGrid w:val="0"/>
              <w:spacing w:line="500" w:lineRule="exact"/>
              <w:jc w:val="center"/>
              <w:textAlignment w:val="baseline"/>
              <w:rPr>
                <w:rFonts w:ascii="宋体" w:hAnsi="宋体" w:cs="宋体"/>
                <w:snapToGrid w:val="0"/>
                <w:color w:val="000000"/>
                <w:kern w:val="0"/>
                <w:sz w:val="24"/>
              </w:rPr>
            </w:pPr>
            <w:r>
              <w:rPr>
                <w:rFonts w:ascii="宋体" w:hAnsi="宋体" w:cs="宋体"/>
                <w:snapToGrid w:val="0"/>
                <w:color w:val="000000"/>
                <w:kern w:val="0"/>
                <w:sz w:val="24"/>
              </w:rPr>
              <w:t>220</w:t>
            </w:r>
          </w:p>
        </w:tc>
        <w:tc>
          <w:tcPr>
            <w:tcW w:w="1155" w:type="dxa"/>
            <w:tcBorders>
              <w:top w:val="single" w:color="auto" w:sz="4" w:space="0"/>
              <w:left w:val="nil"/>
              <w:bottom w:val="single" w:color="auto" w:sz="4" w:space="0"/>
              <w:right w:val="single" w:color="auto" w:sz="4" w:space="0"/>
            </w:tcBorders>
            <w:shd w:val="clear" w:color="auto" w:fill="auto"/>
            <w:vAlign w:val="center"/>
          </w:tcPr>
          <w:p w14:paraId="5A2AF9FF">
            <w:pPr>
              <w:widowControl/>
              <w:kinsoku w:val="0"/>
              <w:autoSpaceDE w:val="0"/>
              <w:autoSpaceDN w:val="0"/>
              <w:adjustRightInd w:val="0"/>
              <w:snapToGrid w:val="0"/>
              <w:spacing w:line="500" w:lineRule="exact"/>
              <w:jc w:val="center"/>
              <w:textAlignment w:val="baseline"/>
              <w:rPr>
                <w:rFonts w:ascii="宋体" w:hAnsi="宋体" w:cs="宋体"/>
                <w:snapToGrid w:val="0"/>
                <w:color w:val="000000"/>
                <w:kern w:val="0"/>
                <w:sz w:val="24"/>
              </w:rPr>
            </w:pPr>
            <w:r>
              <w:rPr>
                <w:rFonts w:ascii="宋体" w:hAnsi="宋体" w:cs="宋体"/>
                <w:snapToGrid w:val="0"/>
                <w:color w:val="000000"/>
                <w:kern w:val="0"/>
                <w:sz w:val="24"/>
              </w:rPr>
              <w:t>±2.80</w:t>
            </w:r>
          </w:p>
        </w:tc>
        <w:tc>
          <w:tcPr>
            <w:tcW w:w="1066" w:type="dxa"/>
            <w:tcBorders>
              <w:top w:val="single" w:color="auto" w:sz="4" w:space="0"/>
              <w:left w:val="nil"/>
              <w:bottom w:val="single" w:color="auto" w:sz="4" w:space="0"/>
              <w:right w:val="single" w:color="auto" w:sz="4" w:space="0"/>
            </w:tcBorders>
            <w:shd w:val="clear" w:color="auto" w:fill="auto"/>
            <w:vAlign w:val="center"/>
          </w:tcPr>
          <w:p w14:paraId="14C9395D">
            <w:pPr>
              <w:widowControl/>
              <w:kinsoku w:val="0"/>
              <w:autoSpaceDE w:val="0"/>
              <w:autoSpaceDN w:val="0"/>
              <w:adjustRightInd w:val="0"/>
              <w:snapToGrid w:val="0"/>
              <w:spacing w:line="500" w:lineRule="exact"/>
              <w:jc w:val="center"/>
              <w:textAlignment w:val="baseline"/>
              <w:rPr>
                <w:rFonts w:ascii="宋体" w:hAnsi="宋体" w:cs="宋体"/>
                <w:snapToGrid w:val="0"/>
                <w:color w:val="000000"/>
                <w:kern w:val="0"/>
                <w:sz w:val="24"/>
              </w:rPr>
            </w:pPr>
            <w:r>
              <w:rPr>
                <w:rFonts w:ascii="宋体" w:hAnsi="宋体" w:cs="宋体"/>
                <w:snapToGrid w:val="0"/>
                <w:color w:val="000000"/>
                <w:kern w:val="0"/>
                <w:sz w:val="24"/>
              </w:rPr>
              <w:t>180</w:t>
            </w:r>
          </w:p>
        </w:tc>
        <w:tc>
          <w:tcPr>
            <w:tcW w:w="1124" w:type="dxa"/>
            <w:tcBorders>
              <w:top w:val="single" w:color="auto" w:sz="4" w:space="0"/>
              <w:left w:val="nil"/>
              <w:bottom w:val="single" w:color="auto" w:sz="4" w:space="0"/>
              <w:right w:val="single" w:color="auto" w:sz="4" w:space="0"/>
            </w:tcBorders>
            <w:shd w:val="clear" w:color="auto" w:fill="auto"/>
            <w:vAlign w:val="center"/>
          </w:tcPr>
          <w:p w14:paraId="58369551">
            <w:pPr>
              <w:widowControl/>
              <w:kinsoku w:val="0"/>
              <w:autoSpaceDE w:val="0"/>
              <w:autoSpaceDN w:val="0"/>
              <w:adjustRightInd w:val="0"/>
              <w:snapToGrid w:val="0"/>
              <w:spacing w:line="500" w:lineRule="exact"/>
              <w:jc w:val="center"/>
              <w:textAlignment w:val="baseline"/>
              <w:rPr>
                <w:rFonts w:ascii="宋体" w:hAnsi="宋体" w:cs="宋体"/>
                <w:snapToGrid w:val="0"/>
                <w:color w:val="000000"/>
                <w:kern w:val="0"/>
                <w:sz w:val="24"/>
              </w:rPr>
            </w:pPr>
            <w:r>
              <w:rPr>
                <w:rFonts w:ascii="宋体" w:hAnsi="宋体" w:cs="宋体"/>
                <w:snapToGrid w:val="0"/>
                <w:color w:val="000000"/>
                <w:kern w:val="0"/>
                <w:sz w:val="24"/>
              </w:rPr>
              <w:t>±0.50</w:t>
            </w:r>
          </w:p>
        </w:tc>
        <w:tc>
          <w:tcPr>
            <w:tcW w:w="1106" w:type="dxa"/>
            <w:tcBorders>
              <w:top w:val="single" w:color="auto" w:sz="4" w:space="0"/>
              <w:left w:val="nil"/>
              <w:bottom w:val="single" w:color="auto" w:sz="4" w:space="0"/>
              <w:right w:val="single" w:color="auto" w:sz="4" w:space="0"/>
            </w:tcBorders>
            <w:shd w:val="clear" w:color="auto" w:fill="auto"/>
            <w:vAlign w:val="center"/>
          </w:tcPr>
          <w:p w14:paraId="76B36483">
            <w:pPr>
              <w:widowControl/>
              <w:kinsoku w:val="0"/>
              <w:autoSpaceDE w:val="0"/>
              <w:autoSpaceDN w:val="0"/>
              <w:adjustRightInd w:val="0"/>
              <w:snapToGrid w:val="0"/>
              <w:spacing w:line="500" w:lineRule="exact"/>
              <w:jc w:val="center"/>
              <w:textAlignment w:val="baseline"/>
              <w:rPr>
                <w:rFonts w:ascii="宋体" w:hAnsi="宋体" w:cs="宋体"/>
                <w:snapToGrid w:val="0"/>
                <w:color w:val="000000"/>
                <w:kern w:val="0"/>
                <w:sz w:val="24"/>
              </w:rPr>
            </w:pPr>
            <w:r>
              <w:rPr>
                <w:rFonts w:ascii="宋体" w:hAnsi="宋体" w:cs="宋体"/>
                <w:snapToGrid w:val="0"/>
                <w:color w:val="000000"/>
                <w:kern w:val="0"/>
                <w:sz w:val="24"/>
              </w:rPr>
              <w:t>17.5</w:t>
            </w:r>
          </w:p>
        </w:tc>
        <w:tc>
          <w:tcPr>
            <w:tcW w:w="1095" w:type="dxa"/>
            <w:tcBorders>
              <w:top w:val="single" w:color="auto" w:sz="4" w:space="0"/>
              <w:left w:val="nil"/>
              <w:bottom w:val="single" w:color="auto" w:sz="4" w:space="0"/>
              <w:right w:val="single" w:color="auto" w:sz="4" w:space="0"/>
            </w:tcBorders>
            <w:shd w:val="clear" w:color="auto" w:fill="auto"/>
            <w:vAlign w:val="center"/>
          </w:tcPr>
          <w:p w14:paraId="62C8A9BF">
            <w:pPr>
              <w:widowControl/>
              <w:kinsoku w:val="0"/>
              <w:autoSpaceDE w:val="0"/>
              <w:autoSpaceDN w:val="0"/>
              <w:adjustRightInd w:val="0"/>
              <w:snapToGrid w:val="0"/>
              <w:spacing w:line="500" w:lineRule="exact"/>
              <w:jc w:val="center"/>
              <w:textAlignment w:val="baseline"/>
              <w:rPr>
                <w:rFonts w:ascii="宋体" w:hAnsi="宋体" w:cs="宋体"/>
                <w:snapToGrid w:val="0"/>
                <w:color w:val="000000"/>
                <w:kern w:val="0"/>
                <w:sz w:val="24"/>
              </w:rPr>
            </w:pPr>
            <w:r>
              <w:rPr>
                <w:rFonts w:hint="eastAsia" w:ascii="宋体" w:hAnsi="宋体" w:cs="宋体"/>
                <w:snapToGrid w:val="0"/>
                <w:color w:val="000000"/>
                <w:kern w:val="0"/>
                <w:sz w:val="24"/>
              </w:rPr>
              <w:t>+0.430</w:t>
            </w:r>
          </w:p>
        </w:tc>
        <w:tc>
          <w:tcPr>
            <w:tcW w:w="733" w:type="dxa"/>
            <w:tcBorders>
              <w:top w:val="single" w:color="auto" w:sz="4" w:space="0"/>
              <w:left w:val="nil"/>
              <w:bottom w:val="single" w:color="auto" w:sz="4" w:space="0"/>
              <w:right w:val="single" w:color="auto" w:sz="4" w:space="0"/>
            </w:tcBorders>
            <w:shd w:val="clear" w:color="auto" w:fill="auto"/>
            <w:vAlign w:val="center"/>
          </w:tcPr>
          <w:p w14:paraId="06522B1B">
            <w:pPr>
              <w:widowControl/>
              <w:kinsoku w:val="0"/>
              <w:autoSpaceDE w:val="0"/>
              <w:autoSpaceDN w:val="0"/>
              <w:adjustRightInd w:val="0"/>
              <w:snapToGrid w:val="0"/>
              <w:spacing w:line="500" w:lineRule="exact"/>
              <w:jc w:val="center"/>
              <w:textAlignment w:val="baseline"/>
              <w:rPr>
                <w:rFonts w:ascii="宋体" w:hAnsi="宋体" w:cs="宋体"/>
                <w:snapToGrid w:val="0"/>
                <w:color w:val="000000"/>
                <w:kern w:val="0"/>
                <w:sz w:val="24"/>
              </w:rPr>
            </w:pPr>
            <w:r>
              <w:rPr>
                <w:rFonts w:ascii="宋体" w:hAnsi="宋体" w:cs="宋体"/>
                <w:snapToGrid w:val="0"/>
                <w:color w:val="000000"/>
                <w:kern w:val="0"/>
                <w:sz w:val="24"/>
              </w:rPr>
              <w:t>8</w:t>
            </w:r>
          </w:p>
        </w:tc>
      </w:tr>
    </w:tbl>
    <w:p w14:paraId="50BF9DD2">
      <w:pPr>
        <w:spacing w:line="480" w:lineRule="exact"/>
        <w:ind w:firstLine="480" w:firstLineChars="200"/>
        <w:rPr>
          <w:rFonts w:hint="eastAsia" w:ascii="宋体" w:hAnsi="宋体" w:cs="宋体"/>
          <w:sz w:val="24"/>
        </w:rPr>
      </w:pPr>
      <w:r>
        <w:rPr>
          <w:rFonts w:hint="eastAsia" w:ascii="宋体" w:hAnsi="宋体" w:cs="宋体"/>
          <w:sz w:val="24"/>
        </w:rPr>
        <w:t>（四）结构及性能要求</w:t>
      </w:r>
    </w:p>
    <w:p w14:paraId="205175BA">
      <w:pPr>
        <w:spacing w:line="480" w:lineRule="exact"/>
        <w:ind w:firstLine="480" w:firstLineChars="200"/>
        <w:rPr>
          <w:rFonts w:hint="eastAsia" w:ascii="宋体" w:hAnsi="宋体" w:cs="宋体"/>
          <w:sz w:val="24"/>
        </w:rPr>
      </w:pPr>
      <w:r>
        <w:rPr>
          <w:rFonts w:hint="eastAsia" w:ascii="宋体" w:hAnsi="宋体" w:cs="宋体"/>
          <w:sz w:val="24"/>
        </w:rPr>
        <w:t>4.1消火栓的结构设计应保证消火栓在使用时的内部最小流通面积不小于公称通径的85%。</w:t>
      </w:r>
    </w:p>
    <w:p w14:paraId="1CB5455D">
      <w:pPr>
        <w:spacing w:line="480" w:lineRule="exact"/>
        <w:ind w:firstLine="480" w:firstLineChars="200"/>
        <w:rPr>
          <w:rFonts w:hint="eastAsia" w:ascii="宋体" w:hAnsi="宋体" w:cs="宋体"/>
          <w:sz w:val="24"/>
        </w:rPr>
      </w:pPr>
      <w:r>
        <w:rPr>
          <w:rFonts w:hint="eastAsia" w:ascii="宋体" w:hAnsi="宋体" w:cs="宋体"/>
          <w:sz w:val="24"/>
        </w:rPr>
        <w:t>4.2室外消火栓外形结构：有帽盖、本体、大出水口、内扣式消防接口、阀体、弯管等零件组装而成。</w:t>
      </w:r>
    </w:p>
    <w:p w14:paraId="5AA07C81">
      <w:pPr>
        <w:spacing w:line="480" w:lineRule="exact"/>
        <w:ind w:firstLine="480" w:firstLineChars="200"/>
        <w:rPr>
          <w:rFonts w:hint="eastAsia" w:ascii="宋体" w:hAnsi="宋体" w:cs="宋体"/>
          <w:sz w:val="24"/>
        </w:rPr>
      </w:pPr>
      <w:r>
        <w:rPr>
          <w:rFonts w:hint="eastAsia" w:ascii="宋体" w:hAnsi="宋体" w:cs="宋体"/>
          <w:sz w:val="24"/>
        </w:rPr>
        <w:t>4.3从内部结构：有阀杆接头、杠座、阀杆座、导柱、导管、阀瓣、密合板、阀座。</w:t>
      </w:r>
    </w:p>
    <w:p w14:paraId="63DD7230">
      <w:pPr>
        <w:spacing w:line="480" w:lineRule="exact"/>
        <w:ind w:firstLine="480" w:firstLineChars="200"/>
        <w:rPr>
          <w:rFonts w:hint="eastAsia" w:ascii="宋体" w:hAnsi="宋体" w:cs="宋体"/>
          <w:sz w:val="24"/>
        </w:rPr>
      </w:pPr>
      <w:r>
        <w:rPr>
          <w:rFonts w:hint="eastAsia" w:ascii="宋体" w:hAnsi="宋体" w:cs="宋体"/>
          <w:sz w:val="24"/>
        </w:rPr>
        <w:t>4.4消火栓采用从上向下压紧形式的密封结构，密封性能可靠；阀瓣密封采用丁晴橡胶，完全符合涉水产品卫生许可标准。</w:t>
      </w:r>
    </w:p>
    <w:p w14:paraId="61BE3ADA">
      <w:pPr>
        <w:spacing w:line="480" w:lineRule="exact"/>
        <w:ind w:firstLine="480" w:firstLineChars="200"/>
        <w:rPr>
          <w:rFonts w:hint="eastAsia" w:ascii="宋体" w:hAnsi="宋体" w:cs="宋体"/>
          <w:sz w:val="24"/>
        </w:rPr>
      </w:pPr>
      <w:r>
        <w:rPr>
          <w:rFonts w:hint="eastAsia" w:ascii="宋体" w:hAnsi="宋体" w:cs="宋体"/>
          <w:sz w:val="24"/>
        </w:rPr>
        <w:t>（五）外观质量</w:t>
      </w:r>
    </w:p>
    <w:p w14:paraId="37F53A23">
      <w:pPr>
        <w:spacing w:line="480" w:lineRule="exact"/>
        <w:ind w:firstLine="480" w:firstLineChars="200"/>
        <w:rPr>
          <w:rFonts w:hint="eastAsia" w:ascii="宋体" w:hAnsi="宋体" w:cs="宋体"/>
          <w:sz w:val="24"/>
        </w:rPr>
      </w:pPr>
      <w:r>
        <w:rPr>
          <w:rFonts w:hint="eastAsia" w:ascii="宋体" w:hAnsi="宋体" w:cs="宋体"/>
          <w:sz w:val="24"/>
        </w:rPr>
        <w:t>5.1消火栓的铸铁件表面应进行喷砂处理，以除去铁粉、水份及油等杂物。</w:t>
      </w:r>
    </w:p>
    <w:p w14:paraId="27B32C6B">
      <w:pPr>
        <w:spacing w:line="480" w:lineRule="exact"/>
        <w:ind w:firstLine="480" w:firstLineChars="200"/>
        <w:rPr>
          <w:rFonts w:hint="eastAsia" w:ascii="宋体" w:hAnsi="宋体" w:cs="宋体"/>
          <w:sz w:val="24"/>
        </w:rPr>
      </w:pPr>
      <w:r>
        <w:rPr>
          <w:rFonts w:hint="eastAsia" w:ascii="宋体" w:hAnsi="宋体" w:cs="宋体"/>
          <w:sz w:val="24"/>
        </w:rPr>
        <w:t>5.2消火栓内腔应涂防锈漆，栓体表面涂丙烯酸防锈底漆后再涂丙烯酸防紫外线大红漆，防止生锈和流体的腐蚀。</w:t>
      </w:r>
    </w:p>
    <w:p w14:paraId="4D76C873">
      <w:pPr>
        <w:spacing w:line="480" w:lineRule="exact"/>
        <w:ind w:firstLine="480" w:firstLineChars="200"/>
        <w:rPr>
          <w:rFonts w:hint="eastAsia" w:ascii="宋体" w:hAnsi="宋体" w:cs="宋体"/>
          <w:sz w:val="24"/>
        </w:rPr>
      </w:pPr>
      <w:r>
        <w:rPr>
          <w:rFonts w:hint="eastAsia" w:ascii="宋体" w:hAnsi="宋体" w:cs="宋体"/>
          <w:sz w:val="24"/>
        </w:rPr>
        <w:t>5.3消火栓的铸铜件表面应无明显砂眼，气孔，裂纹，等缺陷。</w:t>
      </w:r>
    </w:p>
    <w:p w14:paraId="06E468DD">
      <w:pPr>
        <w:spacing w:line="480" w:lineRule="exact"/>
        <w:ind w:firstLine="480" w:firstLineChars="200"/>
        <w:rPr>
          <w:rFonts w:hint="eastAsia" w:ascii="宋体" w:hAnsi="宋体" w:cs="宋体"/>
          <w:sz w:val="24"/>
        </w:rPr>
      </w:pPr>
      <w:r>
        <w:rPr>
          <w:rFonts w:hint="eastAsia" w:ascii="宋体" w:hAnsi="宋体" w:cs="宋体"/>
          <w:sz w:val="24"/>
        </w:rPr>
        <w:t>（六）螺纹</w:t>
      </w:r>
    </w:p>
    <w:p w14:paraId="5B7B1F5E">
      <w:pPr>
        <w:spacing w:line="480" w:lineRule="exact"/>
        <w:ind w:firstLine="480" w:firstLineChars="200"/>
        <w:rPr>
          <w:rFonts w:hint="eastAsia" w:ascii="宋体" w:hAnsi="宋体" w:cs="宋体"/>
          <w:sz w:val="24"/>
        </w:rPr>
      </w:pPr>
      <w:r>
        <w:rPr>
          <w:rFonts w:hint="eastAsia" w:ascii="宋体" w:hAnsi="宋体" w:cs="宋体"/>
          <w:sz w:val="24"/>
        </w:rPr>
        <w:t>消火栓管螺纹的基本尺寸和公差应符合GB/T7307-2001的规定。普通螺纹的公差应符合GB/T197-2018中内螺纹7H级，外螺纹8g级的要求，螺纹应无缺牙，表面应光洁。</w:t>
      </w:r>
    </w:p>
    <w:p w14:paraId="40813305">
      <w:pPr>
        <w:spacing w:line="480" w:lineRule="exact"/>
        <w:ind w:firstLine="480" w:firstLineChars="200"/>
        <w:rPr>
          <w:rFonts w:hint="eastAsia" w:ascii="宋体" w:hAnsi="宋体" w:cs="宋体"/>
          <w:sz w:val="24"/>
        </w:rPr>
      </w:pPr>
      <w:r>
        <w:rPr>
          <w:rFonts w:hint="eastAsia" w:ascii="宋体" w:hAnsi="宋体" w:cs="宋体"/>
          <w:sz w:val="24"/>
        </w:rPr>
        <w:t>（七）开启高度</w:t>
      </w:r>
    </w:p>
    <w:p w14:paraId="321DF5EB">
      <w:pPr>
        <w:spacing w:line="480" w:lineRule="exact"/>
        <w:ind w:firstLine="480" w:firstLineChars="200"/>
        <w:rPr>
          <w:rFonts w:hint="eastAsia" w:ascii="宋体" w:hAnsi="宋体" w:cs="宋体"/>
          <w:sz w:val="24"/>
        </w:rPr>
      </w:pPr>
      <w:r>
        <w:rPr>
          <w:rFonts w:hint="eastAsia" w:ascii="宋体" w:hAnsi="宋体" w:cs="宋体"/>
          <w:sz w:val="24"/>
        </w:rPr>
        <w:t>进水口公称通径为100mm的消火栓开启高度应大于50mm。</w:t>
      </w:r>
    </w:p>
    <w:p w14:paraId="5DE5BF58">
      <w:pPr>
        <w:spacing w:line="480" w:lineRule="exact"/>
        <w:ind w:firstLine="480" w:firstLineChars="200"/>
        <w:rPr>
          <w:rFonts w:hint="eastAsia" w:ascii="宋体" w:hAnsi="宋体" w:cs="宋体"/>
          <w:sz w:val="24"/>
        </w:rPr>
      </w:pPr>
      <w:r>
        <w:rPr>
          <w:rFonts w:hint="eastAsia" w:ascii="宋体" w:hAnsi="宋体" w:cs="宋体"/>
          <w:sz w:val="24"/>
        </w:rPr>
        <w:t>（八）排放余水装置</w:t>
      </w:r>
    </w:p>
    <w:p w14:paraId="62BDB427">
      <w:pPr>
        <w:spacing w:line="480" w:lineRule="exact"/>
        <w:ind w:firstLine="480" w:firstLineChars="200"/>
        <w:rPr>
          <w:rFonts w:hint="eastAsia" w:ascii="宋体" w:hAnsi="宋体" w:cs="宋体"/>
          <w:sz w:val="24"/>
        </w:rPr>
      </w:pPr>
      <w:r>
        <w:rPr>
          <w:rFonts w:hint="eastAsia" w:ascii="宋体" w:hAnsi="宋体" w:cs="宋体"/>
          <w:sz w:val="24"/>
        </w:rPr>
        <w:t>消火栓应有自动排放余水装置（弹簧----弹子），在消火栓处于正常使用（全开启）状态，该装置不得发生渗漏现象。</w:t>
      </w:r>
    </w:p>
    <w:p w14:paraId="7162F657">
      <w:pPr>
        <w:spacing w:line="480" w:lineRule="exact"/>
        <w:ind w:firstLine="480" w:firstLineChars="200"/>
        <w:rPr>
          <w:rFonts w:hint="eastAsia" w:ascii="宋体" w:hAnsi="宋体" w:cs="宋体"/>
          <w:sz w:val="24"/>
        </w:rPr>
      </w:pPr>
      <w:r>
        <w:rPr>
          <w:rFonts w:hint="eastAsia" w:ascii="宋体" w:hAnsi="宋体" w:cs="宋体"/>
          <w:sz w:val="24"/>
        </w:rPr>
        <w:t>（九）消防接口</w:t>
      </w:r>
    </w:p>
    <w:p w14:paraId="356F03B9">
      <w:pPr>
        <w:spacing w:line="480" w:lineRule="exact"/>
        <w:ind w:firstLine="480" w:firstLineChars="200"/>
        <w:rPr>
          <w:rFonts w:hint="eastAsia" w:ascii="宋体" w:hAnsi="宋体" w:cs="宋体"/>
          <w:sz w:val="24"/>
        </w:rPr>
      </w:pPr>
      <w:r>
        <w:rPr>
          <w:rFonts w:hint="eastAsia" w:ascii="宋体" w:hAnsi="宋体" w:cs="宋体"/>
          <w:sz w:val="24"/>
        </w:rPr>
        <w:t>9.1进水口公称通径为100mm的地上消火栓应用GB12514.2-2006规定的KWS65型外螺纹固定接口。</w:t>
      </w:r>
    </w:p>
    <w:p w14:paraId="5C10A829">
      <w:pPr>
        <w:spacing w:line="480" w:lineRule="exact"/>
        <w:ind w:firstLine="480" w:firstLineChars="200"/>
        <w:rPr>
          <w:rFonts w:hint="eastAsia" w:ascii="宋体" w:hAnsi="宋体" w:cs="宋体"/>
          <w:sz w:val="24"/>
        </w:rPr>
      </w:pPr>
      <w:r>
        <w:rPr>
          <w:rFonts w:hint="eastAsia" w:ascii="宋体" w:hAnsi="宋体" w:cs="宋体"/>
          <w:sz w:val="24"/>
        </w:rPr>
        <w:t>9.2进水口公称通径为100mm的消火栓上的吸水管接口螺纹为M125X6。</w:t>
      </w:r>
    </w:p>
    <w:p w14:paraId="6144B154">
      <w:pPr>
        <w:spacing w:line="480" w:lineRule="exact"/>
        <w:ind w:firstLine="480" w:firstLineChars="200"/>
        <w:rPr>
          <w:rFonts w:hint="eastAsia" w:ascii="宋体" w:hAnsi="宋体" w:cs="宋体"/>
          <w:sz w:val="24"/>
        </w:rPr>
      </w:pPr>
      <w:r>
        <w:rPr>
          <w:rFonts w:hint="eastAsia" w:ascii="宋体" w:hAnsi="宋体" w:cs="宋体"/>
          <w:sz w:val="24"/>
        </w:rPr>
        <w:t>9.3消火栓接口的性能应符合GB12514.1-2005的规定。</w:t>
      </w:r>
    </w:p>
    <w:p w14:paraId="38AF6CCF">
      <w:pPr>
        <w:spacing w:line="480" w:lineRule="exact"/>
        <w:ind w:firstLine="480" w:firstLineChars="200"/>
        <w:rPr>
          <w:rFonts w:hint="eastAsia" w:ascii="宋体" w:hAnsi="宋体" w:cs="宋体"/>
          <w:sz w:val="24"/>
        </w:rPr>
      </w:pPr>
      <w:r>
        <w:rPr>
          <w:rFonts w:hint="eastAsia" w:ascii="宋体" w:hAnsi="宋体" w:cs="宋体"/>
          <w:sz w:val="24"/>
        </w:rPr>
        <w:t>（十）标志</w:t>
      </w:r>
    </w:p>
    <w:p w14:paraId="45F6DBF6">
      <w:pPr>
        <w:spacing w:line="480" w:lineRule="exact"/>
        <w:ind w:firstLine="480" w:firstLineChars="200"/>
        <w:rPr>
          <w:rFonts w:hint="eastAsia" w:ascii="宋体" w:hAnsi="宋体" w:cs="宋体"/>
          <w:sz w:val="24"/>
        </w:rPr>
      </w:pPr>
      <w:r>
        <w:rPr>
          <w:rFonts w:hint="eastAsia" w:ascii="宋体" w:hAnsi="宋体" w:cs="宋体"/>
          <w:sz w:val="24"/>
        </w:rPr>
        <w:t>在消火栓栓体上清晰地铸出型号规格、商标等永久性标志。</w:t>
      </w:r>
    </w:p>
    <w:p w14:paraId="7D4F5134">
      <w:pPr>
        <w:spacing w:line="480" w:lineRule="exact"/>
        <w:ind w:firstLine="480" w:firstLineChars="200"/>
        <w:rPr>
          <w:rFonts w:hint="eastAsia" w:ascii="宋体" w:hAnsi="宋体" w:cs="宋体"/>
          <w:sz w:val="24"/>
        </w:rPr>
      </w:pPr>
      <w:r>
        <w:rPr>
          <w:rFonts w:hint="eastAsia" w:ascii="宋体" w:hAnsi="宋体" w:cs="宋体"/>
          <w:sz w:val="24"/>
        </w:rPr>
        <w:t>（十一）包装</w:t>
      </w:r>
    </w:p>
    <w:p w14:paraId="6C1CE8EA">
      <w:pPr>
        <w:spacing w:line="480" w:lineRule="exact"/>
        <w:ind w:firstLine="480" w:firstLineChars="200"/>
        <w:rPr>
          <w:rFonts w:ascii="宋体" w:hAnsi="宋体" w:cs="宋体"/>
          <w:sz w:val="24"/>
        </w:rPr>
      </w:pPr>
      <w:r>
        <w:rPr>
          <w:rFonts w:hint="eastAsia" w:ascii="宋体" w:hAnsi="宋体" w:cs="宋体"/>
          <w:sz w:val="24"/>
        </w:rPr>
        <w:t>产品检验合格后，清除试验时留在产品内部的剩水和表面油污脏物，在非油漆表面涂应防锈油。产品的外罩包装袋上应有下列内容：产品名称、规格型号、出厂编号、重量（净重和毛重）、注册商标、制造日期。内附有产品使用说明书、装箱单和产品合格证。</w:t>
      </w:r>
    </w:p>
    <w:p w14:paraId="11B770DF">
      <w:pPr>
        <w:spacing w:line="480" w:lineRule="exact"/>
        <w:ind w:firstLine="482" w:firstLineChars="200"/>
        <w:rPr>
          <w:rFonts w:ascii="宋体" w:hAnsi="宋体" w:cs="宋体"/>
          <w:bCs/>
          <w:sz w:val="24"/>
        </w:rPr>
      </w:pPr>
      <w:r>
        <w:rPr>
          <w:rFonts w:hint="eastAsia" w:ascii="宋体" w:hAnsi="宋体" w:cs="宋体"/>
          <w:b/>
          <w:sz w:val="24"/>
        </w:rPr>
        <w:t>三、供货周期：</w:t>
      </w:r>
      <w:r>
        <w:rPr>
          <w:rFonts w:hint="eastAsia" w:asciiTheme="minorEastAsia" w:hAnsiTheme="minorEastAsia"/>
          <w:sz w:val="24"/>
        </w:rPr>
        <w:t>1年。供货商应根据采购人通知要求的时间、批次及时供货，不得影响供货进度。若供货方不能按规定的时间供货的，在采购方同意供货方延期交货时，每逾期一天，供货方应按该批采购标的额的万分之四向采购方支付滞纳金，逾期超过15天或在供货期内逾期交货次数累计超过2次的，采购方有权终止本合同，并没收全额履约保证金，并有权要求供货方承担合同价的15%作为违约金。</w:t>
      </w:r>
    </w:p>
    <w:p w14:paraId="4FA08E52">
      <w:pPr>
        <w:spacing w:line="480" w:lineRule="exact"/>
        <w:ind w:firstLine="482" w:firstLineChars="200"/>
        <w:rPr>
          <w:rFonts w:ascii="宋体" w:hAnsi="宋体" w:cs="宋体"/>
          <w:b/>
          <w:sz w:val="24"/>
        </w:rPr>
      </w:pPr>
      <w:r>
        <w:rPr>
          <w:rFonts w:hint="eastAsia" w:ascii="宋体" w:hAnsi="宋体" w:cs="宋体"/>
          <w:b/>
          <w:sz w:val="24"/>
        </w:rPr>
        <w:t>四、</w:t>
      </w:r>
      <w:r>
        <w:rPr>
          <w:rFonts w:ascii="宋体" w:hAnsi="宋体" w:cs="宋体"/>
          <w:b/>
          <w:sz w:val="24"/>
        </w:rPr>
        <w:t>质量要求：</w:t>
      </w:r>
      <w:r>
        <w:rPr>
          <w:rFonts w:hint="eastAsia" w:ascii="宋体" w:hAnsi="宋体" w:cs="宋体"/>
          <w:bCs/>
          <w:sz w:val="24"/>
        </w:rPr>
        <w:t>成交供应商须提供符合采购需求、符合国家质量检测标准的全新未使用过的原装合格产品，产品质量符合招标文件要求、行业及国家标准（供货时提供相关证明材料、有效产品合格证）。</w:t>
      </w:r>
    </w:p>
    <w:p w14:paraId="4899CEA7">
      <w:pPr>
        <w:autoSpaceDE w:val="0"/>
        <w:spacing w:line="480" w:lineRule="exact"/>
        <w:ind w:firstLine="482" w:firstLineChars="200"/>
        <w:rPr>
          <w:rFonts w:ascii="宋体" w:hAnsi="宋体" w:cs="宋体"/>
          <w:b/>
          <w:sz w:val="24"/>
        </w:rPr>
      </w:pPr>
      <w:r>
        <w:rPr>
          <w:rFonts w:hint="eastAsia" w:ascii="宋体" w:hAnsi="宋体" w:cs="宋体"/>
          <w:b/>
          <w:sz w:val="24"/>
        </w:rPr>
        <w:t>五、</w:t>
      </w:r>
      <w:r>
        <w:rPr>
          <w:rFonts w:ascii="宋体" w:hAnsi="宋体" w:cs="宋体"/>
          <w:b/>
          <w:sz w:val="24"/>
        </w:rPr>
        <w:t>质保、售后服务要求</w:t>
      </w:r>
    </w:p>
    <w:p w14:paraId="46F8DF2A">
      <w:pPr>
        <w:autoSpaceDE w:val="0"/>
        <w:spacing w:line="480" w:lineRule="exact"/>
        <w:ind w:firstLine="480" w:firstLineChars="200"/>
        <w:rPr>
          <w:rFonts w:ascii="宋体" w:hAnsi="宋体" w:cs="宋体"/>
          <w:bCs/>
          <w:sz w:val="24"/>
        </w:rPr>
      </w:pPr>
      <w:r>
        <w:rPr>
          <w:rFonts w:ascii="宋体" w:hAnsi="宋体" w:cs="宋体"/>
          <w:bCs/>
          <w:sz w:val="24"/>
        </w:rPr>
        <w:t>本项目所有货物</w:t>
      </w:r>
      <w:r>
        <w:rPr>
          <w:rFonts w:hint="eastAsia" w:ascii="宋体" w:hAnsi="宋体" w:cs="宋体"/>
          <w:bCs/>
          <w:sz w:val="24"/>
        </w:rPr>
        <w:t>免费质保期为三年（含）以上（原厂质保期高于供应商承诺质保期的，按原厂质保期计算。自验收合格报告签字确认日起，开始进入质保期）。</w:t>
      </w:r>
    </w:p>
    <w:p w14:paraId="0B117FD7">
      <w:pPr>
        <w:autoSpaceDE w:val="0"/>
        <w:spacing w:line="480" w:lineRule="exact"/>
        <w:ind w:firstLine="480" w:firstLineChars="200"/>
        <w:rPr>
          <w:rFonts w:hint="eastAsia" w:ascii="宋体" w:hAnsi="宋体" w:cs="宋体"/>
          <w:bCs/>
          <w:sz w:val="24"/>
        </w:rPr>
      </w:pPr>
      <w:r>
        <w:rPr>
          <w:rFonts w:hint="eastAsia" w:ascii="宋体" w:hAnsi="宋体" w:cs="宋体"/>
          <w:bCs/>
          <w:sz w:val="24"/>
        </w:rPr>
        <w:t>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启东水司的采购项目。</w:t>
      </w:r>
    </w:p>
    <w:p w14:paraId="3B384CA3">
      <w:pPr>
        <w:autoSpaceDE w:val="0"/>
        <w:spacing w:line="480" w:lineRule="exact"/>
        <w:ind w:firstLine="480" w:firstLineChars="200"/>
        <w:rPr>
          <w:rFonts w:ascii="宋体" w:hAnsi="宋体" w:cs="宋体"/>
          <w:bCs/>
          <w:sz w:val="24"/>
        </w:rPr>
      </w:pPr>
      <w:r>
        <w:rPr>
          <w:rFonts w:hint="eastAsia" w:ascii="宋体" w:hAnsi="宋体" w:cs="宋体"/>
          <w:bCs/>
          <w:sz w:val="24"/>
        </w:rPr>
        <w:t>如消防栓表面褪色、关不死等情况，出现一次，进行修复（更换后），第二次仍出现上述问题，采购方有权终止合同，并向供货方索赔。</w:t>
      </w:r>
    </w:p>
    <w:p w14:paraId="53DB7E16">
      <w:pPr>
        <w:spacing w:line="480" w:lineRule="exact"/>
        <w:ind w:firstLine="482" w:firstLineChars="200"/>
        <w:rPr>
          <w:rFonts w:ascii="宋体" w:hAnsi="宋体" w:cs="宋体"/>
          <w:b/>
          <w:sz w:val="24"/>
        </w:rPr>
      </w:pPr>
      <w:r>
        <w:rPr>
          <w:rFonts w:hint="eastAsia" w:ascii="宋体" w:hAnsi="宋体" w:cs="宋体"/>
          <w:b/>
          <w:sz w:val="24"/>
        </w:rPr>
        <w:t>六、约定事项：</w:t>
      </w:r>
    </w:p>
    <w:p w14:paraId="5F357AAA">
      <w:pPr>
        <w:spacing w:line="480" w:lineRule="exact"/>
        <w:ind w:firstLine="480" w:firstLineChars="200"/>
        <w:rPr>
          <w:rFonts w:ascii="宋体" w:hAnsi="宋体" w:cs="宋体"/>
          <w:bCs/>
          <w:sz w:val="24"/>
        </w:rPr>
      </w:pPr>
      <w:r>
        <w:rPr>
          <w:rFonts w:hint="eastAsia" w:ascii="宋体" w:hAnsi="宋体" w:cs="宋体"/>
          <w:bCs/>
          <w:sz w:val="24"/>
        </w:rPr>
        <w:t>1、</w:t>
      </w:r>
      <w:r>
        <w:rPr>
          <w:rFonts w:hint="eastAsia" w:ascii="宋体" w:hAnsi="宋体" w:cs="宋体"/>
          <w:sz w:val="24"/>
        </w:rPr>
        <w:t>本项目采取固定单价报价，此报价包括货物的制作、运输（含上下人力费）、材料检测费、保险、装卸、配件、13%税率、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合同期内中标单价不作调整。</w:t>
      </w:r>
    </w:p>
    <w:p w14:paraId="3A8EA758">
      <w:pPr>
        <w:spacing w:line="480" w:lineRule="exact"/>
        <w:ind w:firstLine="480" w:firstLineChars="200"/>
        <w:rPr>
          <w:rFonts w:ascii="宋体" w:hAnsi="宋体" w:cs="宋体"/>
          <w:sz w:val="24"/>
        </w:rPr>
      </w:pPr>
      <w:r>
        <w:rPr>
          <w:rFonts w:hint="eastAsia" w:ascii="宋体" w:hAnsi="宋体" w:cs="宋体"/>
          <w:sz w:val="24"/>
        </w:rPr>
        <w:t>2、采购货物需求中的数量为预估数量，具体数量以采购方实际采购的数量为准，供货方式为少量多批次，报价时请充分考虑运输成本。结算货款时以采购方实际购买数量和规格为准。</w:t>
      </w:r>
    </w:p>
    <w:p w14:paraId="29E60AC2">
      <w:pPr>
        <w:spacing w:line="480" w:lineRule="exact"/>
        <w:ind w:firstLine="480" w:firstLineChars="200"/>
        <w:rPr>
          <w:rFonts w:ascii="宋体" w:hAnsi="宋体" w:cs="宋体"/>
          <w:sz w:val="24"/>
        </w:rPr>
      </w:pPr>
      <w:r>
        <w:rPr>
          <w:rFonts w:hint="eastAsia" w:ascii="宋体" w:hAnsi="宋体" w:cs="宋体"/>
          <w:sz w:val="24"/>
        </w:rPr>
        <w:t>3、拟定支付方式及期限：</w:t>
      </w:r>
    </w:p>
    <w:p w14:paraId="5D6CBB1A">
      <w:pPr>
        <w:spacing w:line="480" w:lineRule="exact"/>
        <w:ind w:right="-197" w:rightChars="-94" w:firstLine="480" w:firstLineChars="200"/>
        <w:rPr>
          <w:rFonts w:ascii="宋体" w:hAnsi="宋体" w:cs="宋体"/>
          <w:sz w:val="24"/>
        </w:rPr>
      </w:pPr>
      <w:r>
        <w:rPr>
          <w:rFonts w:hint="eastAsia" w:ascii="宋体" w:hAnsi="宋体" w:cs="宋体"/>
          <w:sz w:val="24"/>
        </w:rPr>
        <w:t>本次采购量为预估量，最终结算按每次实际采购量计，每次供货完毕并经验收合格后，收到供货方相应的增值税专用发票后30天内支付该批订单的90%货款，剩余10%的货款于合同期结束满3年后，经采购单位认可后一次性结清。若供货方未开具发票，采购方有权拒付相应款项，并不承担相应的逾期付款的违约责任。</w:t>
      </w:r>
    </w:p>
    <w:p w14:paraId="7C588987">
      <w:pPr>
        <w:spacing w:line="480" w:lineRule="exact"/>
        <w:ind w:right="-197" w:rightChars="-94" w:firstLine="480" w:firstLineChars="200"/>
        <w:rPr>
          <w:rFonts w:ascii="宋体" w:hAnsi="宋体" w:cs="宋体"/>
          <w:sz w:val="24"/>
        </w:rPr>
      </w:pPr>
      <w:r>
        <w:rPr>
          <w:rFonts w:hint="eastAsia" w:ascii="宋体" w:hAnsi="宋体" w:cs="宋体"/>
          <w:sz w:val="24"/>
        </w:rPr>
        <w:t>注：供货方申请付款的程序应符合采购方的财务规定。</w:t>
      </w:r>
    </w:p>
    <w:p w14:paraId="35DAC711">
      <w:pPr>
        <w:spacing w:line="480" w:lineRule="exact"/>
        <w:ind w:right="-197" w:rightChars="-94" w:firstLine="480" w:firstLineChars="200"/>
        <w:rPr>
          <w:rFonts w:ascii="宋体" w:hAnsi="宋体" w:cs="宋体"/>
          <w:sz w:val="24"/>
        </w:rPr>
      </w:pPr>
      <w:r>
        <w:rPr>
          <w:rFonts w:hint="eastAsia" w:ascii="宋体" w:hAnsi="宋体" w:cs="宋体"/>
          <w:sz w:val="24"/>
        </w:rPr>
        <w:t>4、报价单位须提供的材料：</w:t>
      </w:r>
    </w:p>
    <w:p w14:paraId="193DE37F">
      <w:pPr>
        <w:spacing w:line="480" w:lineRule="exact"/>
        <w:ind w:right="-197" w:rightChars="-94" w:firstLine="480" w:firstLineChars="200"/>
        <w:rPr>
          <w:rFonts w:ascii="宋体" w:hAnsi="宋体" w:cs="宋体"/>
          <w:sz w:val="24"/>
        </w:rPr>
      </w:pPr>
      <w:r>
        <w:rPr>
          <w:rFonts w:hint="eastAsia" w:ascii="宋体" w:hAnsi="宋体" w:cs="宋体"/>
          <w:sz w:val="24"/>
        </w:rPr>
        <w:t>（1）未被“信用中国”“中国政府采购网”“信用江苏”网站列入失信被执行人、重大税收违法案件当事人名单、政府采购严重违法失信行为记录名单（提供网页截图）（加盖公章）；</w:t>
      </w:r>
    </w:p>
    <w:p w14:paraId="31F4F898">
      <w:pPr>
        <w:spacing w:line="480" w:lineRule="exact"/>
        <w:ind w:right="-197" w:rightChars="-94" w:firstLine="480" w:firstLineChars="200"/>
        <w:rPr>
          <w:rFonts w:ascii="宋体" w:hAnsi="宋体" w:cs="宋体"/>
          <w:sz w:val="24"/>
        </w:rPr>
      </w:pPr>
      <w:r>
        <w:rPr>
          <w:rFonts w:hint="eastAsia" w:ascii="宋体" w:hAnsi="宋体" w:cs="宋体"/>
          <w:sz w:val="24"/>
        </w:rPr>
        <w:t>（2）对于参加报价的供应商应为在中华人民共和国境内注册的货物制造商或经销商，须提供合法的营业执照复印件（加盖公章）；</w:t>
      </w:r>
    </w:p>
    <w:p w14:paraId="5F411AA5">
      <w:pPr>
        <w:spacing w:line="480" w:lineRule="exact"/>
        <w:ind w:right="-197" w:rightChars="-94" w:firstLine="480" w:firstLineChars="200"/>
        <w:rPr>
          <w:rFonts w:hint="eastAsia" w:ascii="宋体" w:hAnsi="宋体" w:cs="宋体"/>
          <w:sz w:val="24"/>
        </w:rPr>
      </w:pPr>
      <w:r>
        <w:rPr>
          <w:rFonts w:hint="eastAsia" w:ascii="宋体" w:hAnsi="宋体" w:cs="宋体"/>
          <w:sz w:val="24"/>
        </w:rPr>
        <w:t>（3）报价供应商近三年（自本询价公告截止时间往前推三年，以合同签订时间为准）承担过与本项目类似的业绩（提供相对应的合同及本公告发布之日前有效发票复印件加盖公章）；</w:t>
      </w:r>
    </w:p>
    <w:p w14:paraId="646602B1">
      <w:pPr>
        <w:spacing w:line="480" w:lineRule="exact"/>
        <w:ind w:right="-197" w:rightChars="-94" w:firstLine="480" w:firstLineChars="200"/>
        <w:rPr>
          <w:rFonts w:ascii="宋体" w:hAnsi="宋体" w:cs="宋体"/>
          <w:color w:val="auto"/>
          <w:sz w:val="24"/>
        </w:rPr>
      </w:pPr>
      <w:r>
        <w:rPr>
          <w:rFonts w:hint="eastAsia" w:ascii="宋体" w:hAnsi="宋体" w:cs="宋体"/>
          <w:color w:val="auto"/>
          <w:sz w:val="24"/>
        </w:rPr>
        <w:t>（4）所报产品应具有国家公安部消防局指定的认证单位出具的强制性产品认证或型式认可证书和国家消防产品质量监督部门出具的质检报告；提供证书或质检报告复印件（加盖公章）；</w:t>
      </w:r>
    </w:p>
    <w:p w14:paraId="67B09613">
      <w:pPr>
        <w:spacing w:line="480" w:lineRule="exact"/>
        <w:ind w:right="-197" w:rightChars="-94" w:firstLine="480" w:firstLineChars="200"/>
        <w:rPr>
          <w:rFonts w:ascii="宋体" w:hAnsi="宋体" w:cs="宋体"/>
          <w:color w:val="auto"/>
          <w:sz w:val="24"/>
        </w:rPr>
      </w:pPr>
      <w:r>
        <w:rPr>
          <w:rFonts w:hint="eastAsia" w:ascii="宋体" w:hAnsi="宋体" w:cs="宋体"/>
          <w:color w:val="auto"/>
          <w:sz w:val="24"/>
        </w:rPr>
        <w:t>（5）市场询价表（格式见附件）。</w:t>
      </w:r>
    </w:p>
    <w:p w14:paraId="33D30BE3">
      <w:pPr>
        <w:spacing w:line="480" w:lineRule="exact"/>
        <w:ind w:right="-197" w:rightChars="-94" w:firstLine="480" w:firstLineChars="200"/>
        <w:rPr>
          <w:rFonts w:ascii="宋体" w:hAnsi="宋体" w:cs="宋体"/>
          <w:sz w:val="24"/>
        </w:rPr>
      </w:pPr>
      <w:r>
        <w:rPr>
          <w:rFonts w:hint="eastAsia" w:ascii="宋体" w:hAnsi="宋体" w:cs="宋体"/>
          <w:sz w:val="24"/>
        </w:rPr>
        <w:t>注：1、参与报价的单位需将上述材料于2026年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26</w:t>
      </w:r>
      <w:bookmarkStart w:id="0" w:name="_GoBack"/>
      <w:bookmarkEnd w:id="0"/>
      <w:r>
        <w:rPr>
          <w:rFonts w:hint="eastAsia" w:ascii="宋体" w:hAnsi="宋体" w:cs="宋体"/>
          <w:sz w:val="24"/>
        </w:rPr>
        <w:t>日17点00分前送或寄（以邮戳为准）江苏伟业项目管理有限公司（启东市汇龙镇和平中路810号景都大厦北三楼）。联系人：黄俊，联系电话：0513-83106618；</w:t>
      </w:r>
    </w:p>
    <w:p w14:paraId="15AD2BCD">
      <w:pPr>
        <w:spacing w:line="480" w:lineRule="exact"/>
        <w:ind w:firstLine="480" w:firstLineChars="200"/>
        <w:rPr>
          <w:rFonts w:ascii="宋体" w:hAnsi="宋体" w:cs="宋体"/>
          <w:sz w:val="24"/>
        </w:rPr>
      </w:pPr>
      <w:r>
        <w:rPr>
          <w:rFonts w:hint="eastAsia" w:ascii="宋体" w:hAnsi="宋体" w:cs="宋体"/>
          <w:sz w:val="24"/>
        </w:rPr>
        <w:t>5、其他：（1）请报价单位认真核算、如实报价，如发现虚假报价的，记入黑名单；（2）本次报价仅作为市场调研用，因此价格仅供参考；（3）本次调研询价不接收质疑函，只接收对本项目的建议。</w:t>
      </w:r>
    </w:p>
    <w:p w14:paraId="2A9425AF">
      <w:pPr>
        <w:widowControl/>
        <w:spacing w:line="17" w:lineRule="atLeast"/>
        <w:jc w:val="left"/>
        <w:rPr>
          <w:rFonts w:cs="仿宋" w:asciiTheme="minorEastAsia" w:hAnsiTheme="minorEastAsia" w:eastAsiaTheme="minorEastAsia"/>
          <w:b/>
          <w:bCs/>
          <w:kern w:val="0"/>
          <w:sz w:val="28"/>
          <w:szCs w:val="28"/>
        </w:rPr>
      </w:pPr>
    </w:p>
    <w:p w14:paraId="51D4E4DE">
      <w:pPr>
        <w:widowControl/>
        <w:spacing w:line="360" w:lineRule="auto"/>
        <w:jc w:val="right"/>
        <w:rPr>
          <w:rFonts w:ascii="宋体" w:hAnsi="宋体" w:cs="宋体"/>
          <w:bCs/>
          <w:sz w:val="24"/>
        </w:rPr>
      </w:pPr>
      <w:r>
        <w:rPr>
          <w:rFonts w:hint="eastAsia" w:ascii="宋体" w:hAnsi="宋体" w:cs="宋体"/>
          <w:bCs/>
          <w:sz w:val="24"/>
        </w:rPr>
        <w:t>启东市自来水厂有限公司</w:t>
      </w:r>
    </w:p>
    <w:p w14:paraId="61AA8EE7">
      <w:pPr>
        <w:widowControl/>
        <w:spacing w:line="360" w:lineRule="auto"/>
        <w:jc w:val="right"/>
        <w:rPr>
          <w:rFonts w:cs="仿宋" w:asciiTheme="minorEastAsia" w:hAnsiTheme="minorEastAsia" w:eastAsiaTheme="minorEastAsia"/>
          <w:b/>
          <w:bCs/>
          <w:kern w:val="0"/>
          <w:sz w:val="28"/>
          <w:szCs w:val="28"/>
        </w:rPr>
      </w:pPr>
      <w:r>
        <w:rPr>
          <w:rFonts w:hint="eastAsia" w:ascii="宋体" w:hAnsi="宋体" w:cs="宋体"/>
          <w:bCs/>
          <w:sz w:val="24"/>
        </w:rPr>
        <w:t>2026年</w:t>
      </w:r>
      <w:r>
        <w:rPr>
          <w:rFonts w:hint="eastAsia" w:ascii="宋体" w:hAnsi="宋体" w:cs="宋体"/>
          <w:bCs/>
          <w:sz w:val="24"/>
          <w:lang w:val="en-US" w:eastAsia="zh-CN"/>
        </w:rPr>
        <w:t>3</w:t>
      </w:r>
      <w:r>
        <w:rPr>
          <w:rFonts w:hint="eastAsia" w:ascii="宋体" w:hAnsi="宋体" w:cs="宋体"/>
          <w:bCs/>
          <w:sz w:val="24"/>
        </w:rPr>
        <w:t>月</w:t>
      </w:r>
      <w:r>
        <w:rPr>
          <w:rFonts w:hint="eastAsia" w:ascii="宋体" w:hAnsi="宋体" w:cs="宋体"/>
          <w:bCs/>
          <w:sz w:val="24"/>
          <w:lang w:val="en-US" w:eastAsia="zh-CN"/>
        </w:rPr>
        <w:t>20</w:t>
      </w:r>
      <w:r>
        <w:rPr>
          <w:rFonts w:hint="eastAsia" w:ascii="宋体" w:hAnsi="宋体" w:cs="宋体"/>
          <w:bCs/>
          <w:sz w:val="24"/>
        </w:rPr>
        <w:t>日</w:t>
      </w:r>
    </w:p>
    <w:p w14:paraId="70101137">
      <w:pPr>
        <w:widowControl/>
        <w:spacing w:line="17" w:lineRule="atLeast"/>
        <w:jc w:val="left"/>
        <w:rPr>
          <w:rFonts w:cs="仿宋" w:asciiTheme="minorEastAsia" w:hAnsiTheme="minorEastAsia" w:eastAsiaTheme="minorEastAsia"/>
          <w:b/>
          <w:bCs/>
          <w:kern w:val="0"/>
          <w:sz w:val="28"/>
          <w:szCs w:val="28"/>
        </w:rPr>
      </w:pPr>
    </w:p>
    <w:p w14:paraId="18AFBB00">
      <w:pPr>
        <w:widowControl/>
        <w:spacing w:line="17" w:lineRule="atLeast"/>
        <w:jc w:val="left"/>
        <w:rPr>
          <w:rFonts w:cs="仿宋" w:asciiTheme="minorEastAsia" w:hAnsiTheme="minorEastAsia" w:eastAsiaTheme="minorEastAsia"/>
          <w:b/>
          <w:bCs/>
          <w:kern w:val="0"/>
          <w:sz w:val="28"/>
          <w:szCs w:val="28"/>
        </w:rPr>
      </w:pPr>
    </w:p>
    <w:p w14:paraId="656899A7">
      <w:pPr>
        <w:widowControl/>
        <w:spacing w:line="17" w:lineRule="atLeast"/>
        <w:jc w:val="left"/>
        <w:rPr>
          <w:rFonts w:cs="仿宋" w:asciiTheme="minorEastAsia" w:hAnsiTheme="minorEastAsia" w:eastAsiaTheme="minorEastAsia"/>
          <w:b/>
          <w:bCs/>
          <w:kern w:val="0"/>
          <w:sz w:val="28"/>
          <w:szCs w:val="28"/>
        </w:rPr>
      </w:pPr>
    </w:p>
    <w:p w14:paraId="1ECB26DD">
      <w:pPr>
        <w:widowControl/>
        <w:spacing w:line="17" w:lineRule="atLeast"/>
        <w:jc w:val="left"/>
        <w:rPr>
          <w:rFonts w:cs="仿宋" w:asciiTheme="minorEastAsia" w:hAnsiTheme="minorEastAsia" w:eastAsiaTheme="minorEastAsia"/>
          <w:b/>
          <w:bCs/>
          <w:kern w:val="0"/>
          <w:sz w:val="28"/>
          <w:szCs w:val="28"/>
        </w:rPr>
      </w:pPr>
    </w:p>
    <w:p w14:paraId="4B617FDF">
      <w:pPr>
        <w:widowControl/>
        <w:spacing w:line="17" w:lineRule="atLeast"/>
        <w:jc w:val="left"/>
        <w:rPr>
          <w:rFonts w:cs="仿宋" w:asciiTheme="minorEastAsia" w:hAnsiTheme="minorEastAsia" w:eastAsiaTheme="minorEastAsia"/>
          <w:b/>
          <w:bCs/>
          <w:kern w:val="0"/>
          <w:sz w:val="28"/>
          <w:szCs w:val="28"/>
        </w:rPr>
      </w:pPr>
    </w:p>
    <w:p w14:paraId="73BE78F9">
      <w:pPr>
        <w:widowControl/>
        <w:spacing w:line="17" w:lineRule="atLeast"/>
        <w:jc w:val="left"/>
        <w:rPr>
          <w:rFonts w:cs="仿宋" w:asciiTheme="minorEastAsia" w:hAnsiTheme="minorEastAsia" w:eastAsiaTheme="minorEastAsia"/>
          <w:b/>
          <w:bCs/>
          <w:kern w:val="0"/>
          <w:sz w:val="28"/>
          <w:szCs w:val="28"/>
        </w:rPr>
      </w:pPr>
    </w:p>
    <w:p w14:paraId="6A41CC1E">
      <w:pPr>
        <w:widowControl/>
        <w:spacing w:line="17" w:lineRule="atLeast"/>
        <w:jc w:val="left"/>
        <w:rPr>
          <w:rFonts w:cs="仿宋" w:asciiTheme="minorEastAsia" w:hAnsiTheme="minorEastAsia" w:eastAsiaTheme="minorEastAsia"/>
          <w:b/>
          <w:bCs/>
          <w:kern w:val="0"/>
          <w:sz w:val="28"/>
          <w:szCs w:val="28"/>
        </w:rPr>
      </w:pPr>
    </w:p>
    <w:p w14:paraId="15A9BBA6">
      <w:pPr>
        <w:widowControl/>
        <w:spacing w:line="17" w:lineRule="atLeast"/>
        <w:jc w:val="left"/>
        <w:rPr>
          <w:rFonts w:cs="仿宋" w:asciiTheme="minorEastAsia" w:hAnsiTheme="minorEastAsia" w:eastAsiaTheme="minorEastAsia"/>
          <w:b/>
          <w:bCs/>
          <w:kern w:val="0"/>
          <w:sz w:val="28"/>
          <w:szCs w:val="28"/>
        </w:rPr>
      </w:pPr>
    </w:p>
    <w:p w14:paraId="0BD2C5B8">
      <w:pPr>
        <w:widowControl/>
        <w:spacing w:line="17" w:lineRule="atLeast"/>
        <w:jc w:val="left"/>
        <w:rPr>
          <w:rFonts w:cs="仿宋" w:asciiTheme="minorEastAsia" w:hAnsiTheme="minorEastAsia" w:eastAsiaTheme="minorEastAsia"/>
          <w:b/>
          <w:bCs/>
          <w:kern w:val="0"/>
          <w:sz w:val="28"/>
          <w:szCs w:val="28"/>
        </w:rPr>
      </w:pPr>
    </w:p>
    <w:p w14:paraId="57B43BD6">
      <w:pPr>
        <w:widowControl/>
        <w:spacing w:line="17" w:lineRule="atLeast"/>
        <w:jc w:val="left"/>
        <w:rPr>
          <w:rFonts w:cs="仿宋" w:asciiTheme="minorEastAsia" w:hAnsiTheme="minorEastAsia" w:eastAsiaTheme="minorEastAsia"/>
          <w:b/>
          <w:bCs/>
          <w:kern w:val="0"/>
          <w:sz w:val="28"/>
          <w:szCs w:val="28"/>
        </w:rPr>
      </w:pPr>
    </w:p>
    <w:p w14:paraId="6CB4B248">
      <w:pPr>
        <w:widowControl/>
        <w:spacing w:line="17" w:lineRule="atLeast"/>
        <w:jc w:val="left"/>
        <w:rPr>
          <w:rFonts w:hint="eastAsia" w:cs="仿宋" w:asciiTheme="minorEastAsia" w:hAnsiTheme="minorEastAsia" w:eastAsiaTheme="minorEastAsia"/>
          <w:b/>
          <w:bCs/>
          <w:kern w:val="0"/>
          <w:sz w:val="28"/>
          <w:szCs w:val="28"/>
        </w:rPr>
      </w:pPr>
    </w:p>
    <w:p w14:paraId="0F5FBC16">
      <w:pPr>
        <w:widowControl/>
        <w:spacing w:line="17" w:lineRule="atLeast"/>
        <w:jc w:val="left"/>
        <w:rPr>
          <w:rFonts w:cs="仿宋" w:asciiTheme="minorEastAsia" w:hAnsiTheme="minorEastAsia" w:eastAsiaTheme="minorEastAsia"/>
          <w:b/>
          <w:bCs/>
          <w:kern w:val="0"/>
          <w:sz w:val="28"/>
          <w:szCs w:val="28"/>
        </w:rPr>
      </w:pPr>
    </w:p>
    <w:p w14:paraId="740E938C">
      <w:pPr>
        <w:widowControl/>
        <w:spacing w:line="17" w:lineRule="atLeast"/>
        <w:jc w:val="left"/>
        <w:rPr>
          <w:rFonts w:cs="仿宋" w:asciiTheme="minorEastAsia" w:hAnsiTheme="minorEastAsia" w:eastAsiaTheme="minorEastAsia"/>
          <w:b/>
          <w:bCs/>
          <w:kern w:val="0"/>
          <w:sz w:val="28"/>
          <w:szCs w:val="28"/>
        </w:rPr>
      </w:pPr>
      <w:r>
        <w:rPr>
          <w:rFonts w:cs="仿宋" w:asciiTheme="minorEastAsia" w:hAnsiTheme="minorEastAsia" w:eastAsiaTheme="minorEastAsia"/>
          <w:b/>
          <w:bCs/>
          <w:kern w:val="0"/>
          <w:sz w:val="28"/>
          <w:szCs w:val="28"/>
        </w:rPr>
        <w:t>附件</w:t>
      </w:r>
      <w:r>
        <w:rPr>
          <w:rFonts w:hint="eastAsia" w:cs="仿宋" w:asciiTheme="minorEastAsia" w:hAnsiTheme="minorEastAsia" w:eastAsiaTheme="minorEastAsia"/>
          <w:b/>
          <w:bCs/>
          <w:kern w:val="0"/>
          <w:sz w:val="28"/>
          <w:szCs w:val="28"/>
        </w:rPr>
        <w:t>：</w:t>
      </w:r>
    </w:p>
    <w:p w14:paraId="30EEA271">
      <w:pPr>
        <w:widowControl/>
        <w:spacing w:line="17" w:lineRule="atLeast"/>
        <w:ind w:right="-340" w:rightChars="-162"/>
        <w:jc w:val="center"/>
        <w:rPr>
          <w:rFonts w:cs="仿宋" w:asciiTheme="minorEastAsia" w:hAnsiTheme="minorEastAsia" w:eastAsiaTheme="minorEastAsia"/>
          <w:b/>
          <w:bCs/>
          <w:kern w:val="0"/>
          <w:sz w:val="28"/>
          <w:szCs w:val="28"/>
        </w:rPr>
      </w:pPr>
      <w:r>
        <w:rPr>
          <w:rFonts w:hint="eastAsia" w:cs="仿宋" w:asciiTheme="minorEastAsia" w:hAnsiTheme="minorEastAsia" w:eastAsiaTheme="minorEastAsia"/>
          <w:b/>
          <w:bCs/>
          <w:kern w:val="0"/>
          <w:sz w:val="28"/>
          <w:szCs w:val="28"/>
        </w:rPr>
        <w:t>启东市自来水厂有限公司消防栓2026-2027年度采购项目</w:t>
      </w:r>
    </w:p>
    <w:p w14:paraId="3F8BA42C">
      <w:pPr>
        <w:widowControl/>
        <w:spacing w:line="17" w:lineRule="atLeast"/>
        <w:ind w:right="-340" w:rightChars="-162"/>
        <w:jc w:val="center"/>
        <w:rPr>
          <w:rFonts w:cs="仿宋" w:asciiTheme="minorEastAsia" w:hAnsiTheme="minorEastAsia" w:eastAsiaTheme="minorEastAsia"/>
          <w:b/>
          <w:bCs/>
          <w:kern w:val="0"/>
          <w:sz w:val="28"/>
          <w:szCs w:val="28"/>
        </w:rPr>
      </w:pPr>
      <w:r>
        <w:rPr>
          <w:rFonts w:hint="eastAsia" w:cs="仿宋" w:asciiTheme="minorEastAsia" w:hAnsiTheme="minorEastAsia" w:eastAsiaTheme="minorEastAsia"/>
          <w:b/>
          <w:bCs/>
          <w:kern w:val="0"/>
          <w:sz w:val="28"/>
          <w:szCs w:val="28"/>
        </w:rPr>
        <w:t>市场询价表</w:t>
      </w:r>
    </w:p>
    <w:tbl>
      <w:tblPr>
        <w:tblStyle w:val="7"/>
        <w:tblW w:w="5035" w:type="pct"/>
        <w:jc w:val="center"/>
        <w:tblLayout w:type="fixed"/>
        <w:tblCellMar>
          <w:top w:w="0" w:type="dxa"/>
          <w:left w:w="108" w:type="dxa"/>
          <w:bottom w:w="0" w:type="dxa"/>
          <w:right w:w="108" w:type="dxa"/>
        </w:tblCellMar>
      </w:tblPr>
      <w:tblGrid>
        <w:gridCol w:w="746"/>
        <w:gridCol w:w="953"/>
        <w:gridCol w:w="1882"/>
        <w:gridCol w:w="851"/>
        <w:gridCol w:w="1134"/>
        <w:gridCol w:w="1134"/>
        <w:gridCol w:w="1134"/>
        <w:gridCol w:w="1134"/>
      </w:tblGrid>
      <w:tr w14:paraId="45435697">
        <w:tblPrEx>
          <w:tblCellMar>
            <w:top w:w="0" w:type="dxa"/>
            <w:left w:w="108" w:type="dxa"/>
            <w:bottom w:w="0" w:type="dxa"/>
            <w:right w:w="108" w:type="dxa"/>
          </w:tblCellMar>
        </w:tblPrEx>
        <w:trPr>
          <w:trHeight w:val="85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AB01">
            <w:pPr>
              <w:spacing w:line="440" w:lineRule="exact"/>
              <w:jc w:val="center"/>
              <w:rPr>
                <w:rFonts w:ascii="宋体" w:hAnsi="宋体" w:cs="宋体"/>
                <w:sz w:val="24"/>
              </w:rPr>
            </w:pPr>
            <w:r>
              <w:rPr>
                <w:rFonts w:hint="eastAsia" w:ascii="宋体" w:hAnsi="宋体" w:cs="宋体"/>
                <w:sz w:val="24"/>
              </w:rPr>
              <w:t>序号</w:t>
            </w:r>
          </w:p>
        </w:tc>
        <w:tc>
          <w:tcPr>
            <w:tcW w:w="953" w:type="dxa"/>
            <w:tcBorders>
              <w:top w:val="single" w:color="000000" w:sz="4" w:space="0"/>
              <w:left w:val="nil"/>
              <w:bottom w:val="single" w:color="000000" w:sz="4" w:space="0"/>
              <w:right w:val="single" w:color="000000" w:sz="4" w:space="0"/>
            </w:tcBorders>
            <w:shd w:val="clear" w:color="auto" w:fill="auto"/>
            <w:vAlign w:val="center"/>
          </w:tcPr>
          <w:p w14:paraId="0FB870F6">
            <w:pPr>
              <w:spacing w:line="440" w:lineRule="exact"/>
              <w:jc w:val="center"/>
              <w:rPr>
                <w:rFonts w:hint="eastAsia" w:ascii="宋体" w:hAnsi="宋体" w:cs="宋体"/>
                <w:sz w:val="24"/>
              </w:rPr>
            </w:pPr>
            <w:r>
              <w:rPr>
                <w:rFonts w:hint="eastAsia" w:ascii="宋体" w:hAnsi="宋体" w:cs="宋体"/>
                <w:sz w:val="24"/>
              </w:rPr>
              <w:t>材料</w:t>
            </w:r>
          </w:p>
          <w:p w14:paraId="5B1CB46B">
            <w:pPr>
              <w:spacing w:line="440" w:lineRule="exact"/>
              <w:jc w:val="center"/>
              <w:rPr>
                <w:rFonts w:ascii="宋体" w:hAnsi="宋体" w:cs="宋体"/>
                <w:sz w:val="24"/>
              </w:rPr>
            </w:pPr>
            <w:r>
              <w:rPr>
                <w:rFonts w:hint="eastAsia" w:ascii="宋体" w:hAnsi="宋体" w:cs="宋体"/>
                <w:sz w:val="24"/>
              </w:rPr>
              <w:t>名称</w:t>
            </w:r>
          </w:p>
        </w:tc>
        <w:tc>
          <w:tcPr>
            <w:tcW w:w="1882" w:type="dxa"/>
            <w:tcBorders>
              <w:top w:val="single" w:color="000000" w:sz="4" w:space="0"/>
              <w:left w:val="nil"/>
              <w:bottom w:val="single" w:color="000000" w:sz="4" w:space="0"/>
              <w:right w:val="single" w:color="000000" w:sz="4" w:space="0"/>
            </w:tcBorders>
            <w:shd w:val="clear" w:color="auto" w:fill="auto"/>
            <w:vAlign w:val="center"/>
          </w:tcPr>
          <w:p w14:paraId="5DA65C5F">
            <w:pPr>
              <w:spacing w:line="440" w:lineRule="exact"/>
              <w:jc w:val="center"/>
              <w:rPr>
                <w:rFonts w:ascii="宋体" w:hAnsi="宋体" w:cs="宋体"/>
                <w:sz w:val="24"/>
              </w:rPr>
            </w:pPr>
            <w:r>
              <w:rPr>
                <w:rFonts w:hint="eastAsia" w:ascii="宋体" w:hAnsi="宋体" w:cs="宋体"/>
                <w:sz w:val="24"/>
              </w:rPr>
              <w:t>规格</w:t>
            </w:r>
            <w:r>
              <w:rPr>
                <w:rFonts w:ascii="宋体" w:hAnsi="宋体" w:cs="宋体"/>
                <w:sz w:val="24"/>
              </w:rPr>
              <w:t>/</w:t>
            </w:r>
            <w:r>
              <w:rPr>
                <w:rFonts w:hint="eastAsia" w:ascii="宋体" w:hAnsi="宋体" w:cs="宋体"/>
                <w:sz w:val="24"/>
              </w:rPr>
              <w:t>型号</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1BF05FEF">
            <w:pPr>
              <w:spacing w:line="440" w:lineRule="exact"/>
              <w:jc w:val="center"/>
              <w:rPr>
                <w:rFonts w:ascii="宋体" w:hAnsi="宋体" w:cs="宋体"/>
                <w:sz w:val="24"/>
              </w:rPr>
            </w:pPr>
            <w:r>
              <w:rPr>
                <w:rFonts w:hint="eastAsia" w:ascii="宋体" w:hAnsi="宋体" w:cs="宋体"/>
                <w:sz w:val="24"/>
              </w:rPr>
              <w:t>单位</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12C60827">
            <w:pPr>
              <w:spacing w:line="440" w:lineRule="exact"/>
              <w:jc w:val="center"/>
              <w:rPr>
                <w:rFonts w:hint="eastAsia" w:ascii="宋体" w:hAnsi="宋体" w:cs="宋体"/>
                <w:sz w:val="24"/>
              </w:rPr>
            </w:pPr>
            <w:r>
              <w:rPr>
                <w:rFonts w:hint="eastAsia" w:ascii="宋体" w:hAnsi="宋体" w:cs="宋体"/>
                <w:sz w:val="24"/>
              </w:rPr>
              <w:t>预估</w:t>
            </w:r>
          </w:p>
          <w:p w14:paraId="76E5E7D5">
            <w:pPr>
              <w:spacing w:line="440" w:lineRule="exact"/>
              <w:jc w:val="center"/>
              <w:rPr>
                <w:rFonts w:ascii="宋体" w:hAnsi="宋体" w:cs="宋体"/>
                <w:sz w:val="24"/>
              </w:rPr>
            </w:pPr>
            <w:r>
              <w:rPr>
                <w:rFonts w:hint="eastAsia" w:ascii="宋体" w:hAnsi="宋体" w:cs="宋体"/>
                <w:sz w:val="24"/>
              </w:rPr>
              <w:t>数量</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122F36E9">
            <w:pPr>
              <w:spacing w:line="440" w:lineRule="exact"/>
              <w:jc w:val="center"/>
              <w:rPr>
                <w:rFonts w:hint="eastAsia" w:ascii="宋体" w:hAnsi="宋体" w:cs="宋体"/>
                <w:sz w:val="24"/>
              </w:rPr>
            </w:pPr>
            <w:r>
              <w:rPr>
                <w:rFonts w:hint="eastAsia" w:ascii="宋体" w:hAnsi="宋体" w:cs="宋体"/>
                <w:sz w:val="24"/>
              </w:rPr>
              <w:t>报价</w:t>
            </w:r>
          </w:p>
          <w:p w14:paraId="42C57B02">
            <w:pPr>
              <w:spacing w:line="440" w:lineRule="exact"/>
              <w:jc w:val="center"/>
              <w:rPr>
                <w:rFonts w:ascii="宋体" w:hAnsi="宋体" w:cs="宋体"/>
                <w:sz w:val="24"/>
              </w:rPr>
            </w:pPr>
            <w:r>
              <w:rPr>
                <w:rFonts w:hint="eastAsia" w:ascii="宋体" w:hAnsi="宋体" w:cs="宋体"/>
                <w:sz w:val="24"/>
              </w:rPr>
              <w:t>品牌</w:t>
            </w:r>
          </w:p>
        </w:tc>
        <w:tc>
          <w:tcPr>
            <w:tcW w:w="1134" w:type="dxa"/>
            <w:tcBorders>
              <w:top w:val="single" w:color="000000" w:sz="4" w:space="0"/>
              <w:left w:val="nil"/>
              <w:bottom w:val="single" w:color="000000" w:sz="4" w:space="0"/>
              <w:right w:val="single" w:color="000000" w:sz="4" w:space="0"/>
            </w:tcBorders>
          </w:tcPr>
          <w:p w14:paraId="2AF0F52C">
            <w:pPr>
              <w:spacing w:line="440" w:lineRule="exact"/>
              <w:jc w:val="center"/>
              <w:rPr>
                <w:rFonts w:hint="eastAsia" w:ascii="宋体" w:hAnsi="宋体" w:cs="宋体"/>
                <w:sz w:val="24"/>
              </w:rPr>
            </w:pPr>
            <w:r>
              <w:rPr>
                <w:rFonts w:hint="eastAsia" w:ascii="宋体" w:hAnsi="宋体" w:cs="宋体"/>
                <w:sz w:val="24"/>
              </w:rPr>
              <w:t>综合单价（元）</w:t>
            </w:r>
          </w:p>
        </w:tc>
        <w:tc>
          <w:tcPr>
            <w:tcW w:w="1134" w:type="dxa"/>
            <w:tcBorders>
              <w:top w:val="single" w:color="000000" w:sz="4" w:space="0"/>
              <w:left w:val="nil"/>
              <w:bottom w:val="single" w:color="000000" w:sz="4" w:space="0"/>
              <w:right w:val="single" w:color="000000" w:sz="4" w:space="0"/>
            </w:tcBorders>
          </w:tcPr>
          <w:p w14:paraId="04B4A66F">
            <w:pPr>
              <w:spacing w:line="440" w:lineRule="exact"/>
              <w:jc w:val="center"/>
              <w:rPr>
                <w:rFonts w:hint="eastAsia" w:ascii="宋体" w:hAnsi="宋体" w:cs="宋体"/>
                <w:sz w:val="24"/>
              </w:rPr>
            </w:pPr>
            <w:r>
              <w:rPr>
                <w:rFonts w:hint="eastAsia" w:ascii="宋体" w:hAnsi="宋体" w:cs="宋体"/>
                <w:sz w:val="24"/>
              </w:rPr>
              <w:t>总价（元）</w:t>
            </w:r>
          </w:p>
        </w:tc>
      </w:tr>
      <w:tr w14:paraId="23471695">
        <w:tblPrEx>
          <w:tblCellMar>
            <w:top w:w="0" w:type="dxa"/>
            <w:left w:w="108" w:type="dxa"/>
            <w:bottom w:w="0" w:type="dxa"/>
            <w:right w:w="108" w:type="dxa"/>
          </w:tblCellMar>
        </w:tblPrEx>
        <w:trPr>
          <w:trHeight w:val="914"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1D7B">
            <w:pPr>
              <w:spacing w:line="440" w:lineRule="exact"/>
              <w:jc w:val="center"/>
              <w:rPr>
                <w:rFonts w:ascii="宋体" w:hAnsi="宋体" w:cs="宋体"/>
                <w:sz w:val="24"/>
              </w:rPr>
            </w:pPr>
            <w:r>
              <w:rPr>
                <w:rFonts w:ascii="宋体" w:hAnsi="宋体" w:cs="宋体"/>
                <w:sz w:val="24"/>
              </w:rPr>
              <w:t>1</w:t>
            </w:r>
          </w:p>
        </w:tc>
        <w:tc>
          <w:tcPr>
            <w:tcW w:w="953" w:type="dxa"/>
            <w:tcBorders>
              <w:top w:val="single" w:color="000000" w:sz="4" w:space="0"/>
              <w:left w:val="nil"/>
              <w:bottom w:val="single" w:color="000000" w:sz="4" w:space="0"/>
              <w:right w:val="single" w:color="000000" w:sz="4" w:space="0"/>
            </w:tcBorders>
            <w:shd w:val="clear" w:color="auto" w:fill="auto"/>
            <w:vAlign w:val="center"/>
          </w:tcPr>
          <w:p w14:paraId="3B6B0F83">
            <w:pPr>
              <w:spacing w:line="440" w:lineRule="exact"/>
              <w:jc w:val="center"/>
              <w:rPr>
                <w:rFonts w:ascii="宋体" w:hAnsi="宋体" w:cs="宋体"/>
                <w:sz w:val="24"/>
              </w:rPr>
            </w:pPr>
            <w:r>
              <w:rPr>
                <w:rFonts w:hint="eastAsia" w:ascii="宋体" w:hAnsi="宋体" w:cs="宋体"/>
                <w:sz w:val="24"/>
              </w:rPr>
              <w:t>消防栓</w:t>
            </w:r>
          </w:p>
        </w:tc>
        <w:tc>
          <w:tcPr>
            <w:tcW w:w="1882" w:type="dxa"/>
            <w:tcBorders>
              <w:top w:val="single" w:color="000000" w:sz="4" w:space="0"/>
              <w:left w:val="nil"/>
              <w:bottom w:val="single" w:color="000000" w:sz="4" w:space="0"/>
              <w:right w:val="single" w:color="000000" w:sz="4" w:space="0"/>
            </w:tcBorders>
            <w:shd w:val="clear" w:color="auto" w:fill="auto"/>
            <w:noWrap/>
            <w:vAlign w:val="center"/>
          </w:tcPr>
          <w:p w14:paraId="32B78CE7">
            <w:pPr>
              <w:spacing w:line="440" w:lineRule="exact"/>
              <w:jc w:val="center"/>
              <w:rPr>
                <w:rFonts w:ascii="宋体" w:hAnsi="宋体" w:cs="宋体"/>
                <w:sz w:val="24"/>
              </w:rPr>
            </w:pPr>
            <w:r>
              <w:rPr>
                <w:rFonts w:ascii="宋体" w:hAnsi="宋体" w:cs="宋体"/>
                <w:sz w:val="24"/>
              </w:rPr>
              <w:t>DN100*1.6MPa</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14:paraId="0D8F1C2D">
            <w:pPr>
              <w:spacing w:line="440" w:lineRule="exact"/>
              <w:jc w:val="center"/>
              <w:rPr>
                <w:rFonts w:ascii="宋体" w:hAnsi="宋体" w:cs="宋体"/>
                <w:sz w:val="24"/>
              </w:rPr>
            </w:pPr>
            <w:r>
              <w:rPr>
                <w:rFonts w:hint="eastAsia" w:ascii="宋体" w:hAnsi="宋体" w:cs="宋体"/>
                <w:sz w:val="24"/>
              </w:rPr>
              <w:t>只</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14:paraId="10618EFD">
            <w:pPr>
              <w:spacing w:line="440" w:lineRule="exact"/>
              <w:jc w:val="center"/>
              <w:rPr>
                <w:rFonts w:ascii="宋体" w:hAnsi="宋体" w:cs="宋体"/>
                <w:sz w:val="24"/>
              </w:rPr>
            </w:pPr>
            <w:r>
              <w:rPr>
                <w:rFonts w:ascii="宋体" w:hAnsi="宋体" w:cs="宋体"/>
                <w:sz w:val="24"/>
              </w:rPr>
              <w:t>5</w:t>
            </w:r>
            <w:r>
              <w:rPr>
                <w:rFonts w:hint="eastAsia" w:ascii="宋体" w:hAnsi="宋体" w:cs="宋体"/>
                <w:sz w:val="24"/>
              </w:rPr>
              <w:t>5</w:t>
            </w:r>
            <w:r>
              <w:rPr>
                <w:rFonts w:ascii="宋体" w:hAnsi="宋体" w:cs="宋体"/>
                <w:sz w:val="24"/>
              </w:rPr>
              <w:t>0</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55220218">
            <w:pPr>
              <w:spacing w:line="440" w:lineRule="exact"/>
              <w:jc w:val="center"/>
              <w:rPr>
                <w:rFonts w:ascii="宋体" w:hAnsi="宋体" w:cs="宋体"/>
                <w:sz w:val="24"/>
              </w:rPr>
            </w:pPr>
            <w:r>
              <w:rPr>
                <w:rFonts w:hint="eastAsia" w:ascii="宋体" w:hAnsi="宋体" w:cs="宋体"/>
                <w:sz w:val="24"/>
              </w:rPr>
              <w:t xml:space="preserve"> </w:t>
            </w:r>
          </w:p>
        </w:tc>
        <w:tc>
          <w:tcPr>
            <w:tcW w:w="1134" w:type="dxa"/>
            <w:tcBorders>
              <w:top w:val="single" w:color="000000" w:sz="4" w:space="0"/>
              <w:left w:val="nil"/>
              <w:bottom w:val="single" w:color="000000" w:sz="4" w:space="0"/>
              <w:right w:val="single" w:color="000000" w:sz="4" w:space="0"/>
            </w:tcBorders>
          </w:tcPr>
          <w:p w14:paraId="5F3BF58C">
            <w:pPr>
              <w:spacing w:line="440" w:lineRule="exact"/>
              <w:jc w:val="center"/>
              <w:rPr>
                <w:rFonts w:hint="eastAsia" w:ascii="宋体" w:hAnsi="宋体" w:cs="宋体"/>
                <w:sz w:val="24"/>
              </w:rPr>
            </w:pPr>
          </w:p>
        </w:tc>
        <w:tc>
          <w:tcPr>
            <w:tcW w:w="1134" w:type="dxa"/>
            <w:tcBorders>
              <w:top w:val="single" w:color="000000" w:sz="4" w:space="0"/>
              <w:left w:val="nil"/>
              <w:bottom w:val="single" w:color="000000" w:sz="4" w:space="0"/>
              <w:right w:val="single" w:color="000000" w:sz="4" w:space="0"/>
            </w:tcBorders>
          </w:tcPr>
          <w:p w14:paraId="006E2311">
            <w:pPr>
              <w:spacing w:line="440" w:lineRule="exact"/>
              <w:jc w:val="center"/>
              <w:rPr>
                <w:rFonts w:hint="eastAsia" w:ascii="宋体" w:hAnsi="宋体" w:cs="宋体"/>
                <w:sz w:val="24"/>
              </w:rPr>
            </w:pPr>
          </w:p>
        </w:tc>
      </w:tr>
      <w:tr w14:paraId="4CDAA6E7">
        <w:tblPrEx>
          <w:tblCellMar>
            <w:top w:w="0" w:type="dxa"/>
            <w:left w:w="108" w:type="dxa"/>
            <w:bottom w:w="0" w:type="dxa"/>
            <w:right w:w="108" w:type="dxa"/>
          </w:tblCellMar>
        </w:tblPrEx>
        <w:trPr>
          <w:trHeight w:val="684" w:hRule="atLeast"/>
          <w:jc w:val="center"/>
        </w:trPr>
        <w:tc>
          <w:tcPr>
            <w:tcW w:w="896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52D2">
            <w:pPr>
              <w:spacing w:line="440" w:lineRule="exact"/>
              <w:jc w:val="left"/>
              <w:rPr>
                <w:rFonts w:hint="eastAsia" w:ascii="宋体" w:hAnsi="宋体" w:cs="宋体"/>
                <w:sz w:val="24"/>
              </w:rPr>
            </w:pPr>
            <w:r>
              <w:rPr>
                <w:rFonts w:hint="eastAsia" w:ascii="宋体" w:hAnsi="宋体" w:cs="宋体"/>
                <w:sz w:val="24"/>
              </w:rPr>
              <w:t>注：本次采购项目使用的参考品牌：欢龙牌（江苏徐州）、清元松牌（江苏徐州）、天威消防牌（江苏无锡）、百安消防牌（福建）、川邛牌（成都）。参加报价的供应商如以参考品牌进行报价的，需提供所投品牌商标证明（若为经销商的，需提供所投品牌的授权委托书及品牌商标证明）； 本次参与询价的报价供应商如以参考品牌之外的进行报价，报价产品的技术参数或质量标准不得低于参考品牌的档次，同时报价供应商应当提供拟投货物的技术资料及相关证明材料复印件并加盖公章与报价文件、资格要求的证明材料，以邮寄方式到达指定接收地址为准（启东市汇龙镇和平中路810号景都大厦北三楼，联系人：黄俊，联系电话：0513-833106618）。</w:t>
            </w:r>
          </w:p>
        </w:tc>
      </w:tr>
    </w:tbl>
    <w:p w14:paraId="1C3D1AE1">
      <w:pPr>
        <w:spacing w:afterLines="50"/>
        <w:rPr>
          <w:rFonts w:asciiTheme="minorEastAsia" w:hAnsiTheme="minorEastAsia" w:eastAsiaTheme="minorEastAsia"/>
          <w:b/>
        </w:rPr>
      </w:pPr>
    </w:p>
    <w:p w14:paraId="492AB9E4">
      <w:pPr>
        <w:spacing w:line="400" w:lineRule="exact"/>
        <w:rPr>
          <w:rFonts w:ascii="宋体" w:hAnsi="宋体" w:cs="宋体"/>
          <w:bCs/>
          <w:sz w:val="24"/>
        </w:rPr>
      </w:pPr>
      <w:r>
        <w:rPr>
          <w:rFonts w:hint="eastAsia" w:ascii="宋体" w:hAnsi="宋体" w:cs="宋体"/>
          <w:bCs/>
          <w:sz w:val="24"/>
        </w:rPr>
        <w:t>报价单位（盖章）：</w:t>
      </w:r>
    </w:p>
    <w:p w14:paraId="429C47EB">
      <w:pPr>
        <w:spacing w:line="400" w:lineRule="exact"/>
        <w:jc w:val="left"/>
        <w:rPr>
          <w:rFonts w:ascii="宋体" w:hAnsi="宋体" w:cs="宋体"/>
          <w:bCs/>
          <w:sz w:val="24"/>
        </w:rPr>
      </w:pPr>
      <w:r>
        <w:rPr>
          <w:rFonts w:ascii="宋体" w:hAnsi="宋体" w:cs="宋体"/>
          <w:bCs/>
          <w:sz w:val="24"/>
        </w:rPr>
        <w:t>联系人：</w:t>
      </w:r>
    </w:p>
    <w:p w14:paraId="5FA34111">
      <w:pPr>
        <w:spacing w:line="400" w:lineRule="exact"/>
        <w:rPr>
          <w:rFonts w:ascii="宋体" w:hAnsi="宋体" w:cs="宋体"/>
          <w:bCs/>
          <w:sz w:val="24"/>
        </w:rPr>
      </w:pPr>
      <w:r>
        <w:rPr>
          <w:rFonts w:ascii="宋体" w:hAnsi="宋体" w:cs="宋体"/>
          <w:bCs/>
          <w:sz w:val="24"/>
        </w:rPr>
        <w:t>联系电话：</w:t>
      </w:r>
    </w:p>
    <w:p w14:paraId="2C5A211C">
      <w:pPr>
        <w:spacing w:line="400" w:lineRule="exact"/>
        <w:rPr>
          <w:rFonts w:ascii="宋体" w:hAnsi="宋体" w:cs="宋体"/>
          <w:bCs/>
          <w:sz w:val="24"/>
        </w:rPr>
      </w:pPr>
      <w:r>
        <w:rPr>
          <w:rFonts w:ascii="宋体" w:hAnsi="宋体" w:cs="宋体"/>
          <w:bCs/>
          <w:sz w:val="24"/>
        </w:rPr>
        <w:t>单位地址：</w:t>
      </w:r>
    </w:p>
    <w:p w14:paraId="1679AA67">
      <w:pPr>
        <w:tabs>
          <w:tab w:val="left" w:pos="4820"/>
          <w:tab w:val="left" w:pos="4962"/>
        </w:tabs>
        <w:spacing w:line="400" w:lineRule="exact"/>
        <w:rPr>
          <w:rFonts w:asciiTheme="minorEastAsia" w:hAnsiTheme="minorEastAsia" w:eastAsiaTheme="minorEastAsia"/>
          <w:sz w:val="24"/>
        </w:rPr>
      </w:pPr>
      <w:r>
        <w:rPr>
          <w:rFonts w:ascii="宋体" w:hAnsi="宋体" w:cs="宋体"/>
          <w:bCs/>
          <w:sz w:val="24"/>
        </w:rPr>
        <w:t>报价时间：</w:t>
      </w:r>
    </w:p>
    <w:sectPr>
      <w:pgSz w:w="11906" w:h="16838"/>
      <w:pgMar w:top="1560" w:right="1416" w:bottom="1418"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906EC"/>
    <w:multiLevelType w:val="singleLevel"/>
    <w:tmpl w:val="50C906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2ZDI0MGQ2ZmRhYzljYzc4YmY2ODE1NzdjMmFhNjcifQ=="/>
  </w:docVars>
  <w:rsids>
    <w:rsidRoot w:val="0012737C"/>
    <w:rsid w:val="00006B7C"/>
    <w:rsid w:val="00023FBA"/>
    <w:rsid w:val="0007249E"/>
    <w:rsid w:val="000C2177"/>
    <w:rsid w:val="000C4CB9"/>
    <w:rsid w:val="000D2DFC"/>
    <w:rsid w:val="0011084F"/>
    <w:rsid w:val="00117D9F"/>
    <w:rsid w:val="0012737C"/>
    <w:rsid w:val="0012770A"/>
    <w:rsid w:val="0013092A"/>
    <w:rsid w:val="00141812"/>
    <w:rsid w:val="0016408C"/>
    <w:rsid w:val="001726D3"/>
    <w:rsid w:val="001C40E1"/>
    <w:rsid w:val="001C4CDC"/>
    <w:rsid w:val="001F1182"/>
    <w:rsid w:val="001F4129"/>
    <w:rsid w:val="00202342"/>
    <w:rsid w:val="00217982"/>
    <w:rsid w:val="00234FE6"/>
    <w:rsid w:val="0026101B"/>
    <w:rsid w:val="00297673"/>
    <w:rsid w:val="002A4A98"/>
    <w:rsid w:val="002A4D4B"/>
    <w:rsid w:val="002A6D23"/>
    <w:rsid w:val="002C4449"/>
    <w:rsid w:val="002E1B59"/>
    <w:rsid w:val="002E3A03"/>
    <w:rsid w:val="002F0D31"/>
    <w:rsid w:val="003066E6"/>
    <w:rsid w:val="003171CF"/>
    <w:rsid w:val="003424DA"/>
    <w:rsid w:val="003971BC"/>
    <w:rsid w:val="003D78D7"/>
    <w:rsid w:val="003E5927"/>
    <w:rsid w:val="0040377B"/>
    <w:rsid w:val="00412760"/>
    <w:rsid w:val="00430EAD"/>
    <w:rsid w:val="00445757"/>
    <w:rsid w:val="00446B7E"/>
    <w:rsid w:val="00450B04"/>
    <w:rsid w:val="00467A46"/>
    <w:rsid w:val="0047786C"/>
    <w:rsid w:val="00492989"/>
    <w:rsid w:val="00494EF6"/>
    <w:rsid w:val="004A450F"/>
    <w:rsid w:val="004C3066"/>
    <w:rsid w:val="004F48C2"/>
    <w:rsid w:val="004F5F1A"/>
    <w:rsid w:val="00513840"/>
    <w:rsid w:val="0052442E"/>
    <w:rsid w:val="005431C6"/>
    <w:rsid w:val="00582F4C"/>
    <w:rsid w:val="005A23B4"/>
    <w:rsid w:val="005D3A2E"/>
    <w:rsid w:val="005F4B95"/>
    <w:rsid w:val="0062716E"/>
    <w:rsid w:val="00637390"/>
    <w:rsid w:val="0063773C"/>
    <w:rsid w:val="00647810"/>
    <w:rsid w:val="00656100"/>
    <w:rsid w:val="00692AE2"/>
    <w:rsid w:val="0069527A"/>
    <w:rsid w:val="006B3D18"/>
    <w:rsid w:val="006E315D"/>
    <w:rsid w:val="00705ED1"/>
    <w:rsid w:val="0071788A"/>
    <w:rsid w:val="00743BE7"/>
    <w:rsid w:val="0076347D"/>
    <w:rsid w:val="00764166"/>
    <w:rsid w:val="007A31CD"/>
    <w:rsid w:val="007A4F1E"/>
    <w:rsid w:val="007A73B5"/>
    <w:rsid w:val="007B6DCC"/>
    <w:rsid w:val="007E5FF3"/>
    <w:rsid w:val="00831DC0"/>
    <w:rsid w:val="0083313F"/>
    <w:rsid w:val="008814D6"/>
    <w:rsid w:val="00893765"/>
    <w:rsid w:val="008A6631"/>
    <w:rsid w:val="008D5767"/>
    <w:rsid w:val="008E3CE1"/>
    <w:rsid w:val="008F6634"/>
    <w:rsid w:val="00911197"/>
    <w:rsid w:val="00913691"/>
    <w:rsid w:val="00922419"/>
    <w:rsid w:val="009420A4"/>
    <w:rsid w:val="00943351"/>
    <w:rsid w:val="0096247D"/>
    <w:rsid w:val="00970111"/>
    <w:rsid w:val="00992DF0"/>
    <w:rsid w:val="009E0916"/>
    <w:rsid w:val="009E513B"/>
    <w:rsid w:val="00A12210"/>
    <w:rsid w:val="00A368C6"/>
    <w:rsid w:val="00A40FC0"/>
    <w:rsid w:val="00A67999"/>
    <w:rsid w:val="00A67C37"/>
    <w:rsid w:val="00A849F9"/>
    <w:rsid w:val="00AA4059"/>
    <w:rsid w:val="00AA7972"/>
    <w:rsid w:val="00AB377B"/>
    <w:rsid w:val="00AC14CA"/>
    <w:rsid w:val="00AE0439"/>
    <w:rsid w:val="00AE3910"/>
    <w:rsid w:val="00AF7295"/>
    <w:rsid w:val="00AF7857"/>
    <w:rsid w:val="00B14544"/>
    <w:rsid w:val="00B32670"/>
    <w:rsid w:val="00B7172C"/>
    <w:rsid w:val="00B8158F"/>
    <w:rsid w:val="00BA7285"/>
    <w:rsid w:val="00BB2600"/>
    <w:rsid w:val="00BE70A1"/>
    <w:rsid w:val="00C07170"/>
    <w:rsid w:val="00C13BEF"/>
    <w:rsid w:val="00C36C22"/>
    <w:rsid w:val="00C42FA0"/>
    <w:rsid w:val="00C81CF3"/>
    <w:rsid w:val="00C82D72"/>
    <w:rsid w:val="00C87763"/>
    <w:rsid w:val="00C87A9E"/>
    <w:rsid w:val="00C96B45"/>
    <w:rsid w:val="00CA2E5F"/>
    <w:rsid w:val="00CB4827"/>
    <w:rsid w:val="00CC15A3"/>
    <w:rsid w:val="00CC1F3D"/>
    <w:rsid w:val="00CD5231"/>
    <w:rsid w:val="00CF71B7"/>
    <w:rsid w:val="00D04E39"/>
    <w:rsid w:val="00D41BAB"/>
    <w:rsid w:val="00D8596F"/>
    <w:rsid w:val="00D86374"/>
    <w:rsid w:val="00D90C44"/>
    <w:rsid w:val="00DA2E34"/>
    <w:rsid w:val="00DF6D8E"/>
    <w:rsid w:val="00E44029"/>
    <w:rsid w:val="00E46A3C"/>
    <w:rsid w:val="00E660B3"/>
    <w:rsid w:val="00E76AF2"/>
    <w:rsid w:val="00E92296"/>
    <w:rsid w:val="00E93A6D"/>
    <w:rsid w:val="00EA4185"/>
    <w:rsid w:val="00EA4B08"/>
    <w:rsid w:val="00EE75E3"/>
    <w:rsid w:val="00F24BB0"/>
    <w:rsid w:val="00F443A1"/>
    <w:rsid w:val="00F5344D"/>
    <w:rsid w:val="00F54395"/>
    <w:rsid w:val="00F57497"/>
    <w:rsid w:val="00F61701"/>
    <w:rsid w:val="00F84B59"/>
    <w:rsid w:val="00FC3D97"/>
    <w:rsid w:val="00FF415F"/>
    <w:rsid w:val="04FA68C4"/>
    <w:rsid w:val="05834B0B"/>
    <w:rsid w:val="099217C1"/>
    <w:rsid w:val="0D3F3A0E"/>
    <w:rsid w:val="118B5F3F"/>
    <w:rsid w:val="1D3B7AD6"/>
    <w:rsid w:val="24AA6542"/>
    <w:rsid w:val="24C236FA"/>
    <w:rsid w:val="263537A8"/>
    <w:rsid w:val="29A44ECD"/>
    <w:rsid w:val="2C954FA0"/>
    <w:rsid w:val="2F0B154A"/>
    <w:rsid w:val="345E036E"/>
    <w:rsid w:val="38222D47"/>
    <w:rsid w:val="418331C2"/>
    <w:rsid w:val="449F21F0"/>
    <w:rsid w:val="4CD60D47"/>
    <w:rsid w:val="4E41243B"/>
    <w:rsid w:val="522964A6"/>
    <w:rsid w:val="53964FD7"/>
    <w:rsid w:val="555E7D76"/>
    <w:rsid w:val="58150CC3"/>
    <w:rsid w:val="6856322D"/>
    <w:rsid w:val="6A974F7F"/>
    <w:rsid w:val="6BC94C70"/>
    <w:rsid w:val="6EBA7973"/>
    <w:rsid w:val="70C66AA3"/>
    <w:rsid w:val="76AA12C9"/>
    <w:rsid w:val="7CE95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Calibri" w:hAnsi="Calibri"/>
    </w:rPr>
  </w:style>
  <w:style w:type="paragraph" w:styleId="3">
    <w:name w:val="Body Text"/>
    <w:basedOn w:val="1"/>
    <w:next w:val="1"/>
    <w:link w:val="13"/>
    <w:qFormat/>
    <w:uiPriority w:val="0"/>
    <w:pPr>
      <w:adjustRightInd w:val="0"/>
      <w:spacing w:after="60" w:line="360" w:lineRule="atLeast"/>
      <w:ind w:left="72" w:leftChars="30" w:right="30" w:rightChars="30"/>
      <w:jc w:val="center"/>
      <w:textAlignment w:val="baseline"/>
    </w:pPr>
    <w:rPr>
      <w:rFonts w:ascii="Calibri" w:hAnsi="Calibri"/>
      <w:szCs w:val="22"/>
    </w:rPr>
  </w:style>
  <w:style w:type="paragraph" w:styleId="4">
    <w:name w:val="Balloon Text"/>
    <w:basedOn w:val="1"/>
    <w:link w:val="14"/>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paragraph" w:styleId="11">
    <w:name w:val="List Paragraph"/>
    <w:basedOn w:val="1"/>
    <w:unhideWhenUsed/>
    <w:qFormat/>
    <w:uiPriority w:val="99"/>
    <w:pPr>
      <w:ind w:firstLine="420" w:firstLineChars="200"/>
    </w:pPr>
  </w:style>
  <w:style w:type="character" w:customStyle="1" w:styleId="12">
    <w:name w:val="批注文字 Char"/>
    <w:basedOn w:val="8"/>
    <w:link w:val="2"/>
    <w:qFormat/>
    <w:uiPriority w:val="0"/>
    <w:rPr>
      <w:rFonts w:ascii="Calibri" w:hAnsi="Calibri" w:eastAsia="宋体" w:cs="Times New Roman"/>
      <w:kern w:val="2"/>
      <w:sz w:val="21"/>
      <w:szCs w:val="24"/>
    </w:rPr>
  </w:style>
  <w:style w:type="character" w:customStyle="1" w:styleId="13">
    <w:name w:val="正文文本 Char"/>
    <w:basedOn w:val="8"/>
    <w:link w:val="3"/>
    <w:qFormat/>
    <w:uiPriority w:val="0"/>
    <w:rPr>
      <w:rFonts w:ascii="Calibri" w:hAnsi="Calibri" w:eastAsia="宋体" w:cs="Times New Roman"/>
      <w:kern w:val="2"/>
      <w:sz w:val="21"/>
      <w:szCs w:val="22"/>
    </w:rPr>
  </w:style>
  <w:style w:type="character" w:customStyle="1" w:styleId="14">
    <w:name w:val="批注框文本 Char"/>
    <w:basedOn w:val="8"/>
    <w:link w:val="4"/>
    <w:semiHidden/>
    <w:qFormat/>
    <w:uiPriority w:val="99"/>
    <w:rPr>
      <w:rFonts w:ascii="Times New Roman" w:hAnsi="Times New Roman" w:eastAsia="宋体" w:cs="Times New Roman"/>
      <w:kern w:val="2"/>
      <w:sz w:val="18"/>
      <w:szCs w:val="18"/>
    </w:rPr>
  </w:style>
  <w:style w:type="character" w:customStyle="1" w:styleId="15">
    <w:name w:val="NormalCharacter"/>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39F02-2035-480D-8520-D40D4EDC63A2}">
  <ds:schemaRefs/>
</ds:datastoreItem>
</file>

<file path=docProps/app.xml><?xml version="1.0" encoding="utf-8"?>
<Properties xmlns="http://schemas.openxmlformats.org/officeDocument/2006/extended-properties" xmlns:vt="http://schemas.openxmlformats.org/officeDocument/2006/docPropsVTypes">
  <Template>Normal</Template>
  <Pages>7</Pages>
  <Words>3514</Words>
  <Characters>3969</Characters>
  <Lines>29</Lines>
  <Paragraphs>8</Paragraphs>
  <TotalTime>144</TotalTime>
  <ScaleCrop>false</ScaleCrop>
  <LinksUpToDate>false</LinksUpToDate>
  <CharactersWithSpaces>4000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2023-06-30T02:37:00Z</dcterms:created>
  <dc:creator>Windows 用户</dc:creator>
  <cp:lastModifiedBy>Stella</cp:lastModifiedBy>
  <cp:lastPrinted>2026-01-15T07:57:00Z</cp:lastPrinted>
  <dcterms:modified xsi:type="dcterms:W3CDTF">2026-03-20T07:53:10Z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6321E80E82B04870BFDE6226D34F62B0_13</vt:lpwstr>
  </property>
  <property fmtid="{D5CDD505-2E9C-101B-9397-08002B2CF9AE}" pid="4" name="KSOTemplateDocerSaveRecord">
    <vt:lpwstr>eyJoZGlkIjoiZTNlMmY5YjcxZTRkZjg5N2MyMWI3YzFkZTQ2OTdlZWQiLCJ1c2VySWQiOiI0NTEyNTg0MjYifQ==</vt:lpwstr>
  </property>
</Properties>
</file>