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264FD">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启东市自来水厂有限公司钢管2026-2027年度采购项目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启东市自来水厂有限公司的启东市自来水厂有限公司钢管2026-2027年度采购项目即将实施，现就该项目进行市场询价调研。</w:t>
      </w:r>
    </w:p>
    <w:p w14:paraId="70ECFCA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采购需求：</w:t>
      </w:r>
      <w:r>
        <w:rPr>
          <w:rFonts w:hint="eastAsia" w:ascii="宋体" w:hAnsi="宋体" w:eastAsia="宋体" w:cs="宋体"/>
          <w:sz w:val="24"/>
          <w:szCs w:val="24"/>
          <w:lang w:val="en-US" w:eastAsia="zh-CN"/>
        </w:rPr>
        <w:t>详见附件《</w:t>
      </w:r>
      <w:r>
        <w:rPr>
          <w:rFonts w:hint="eastAsia" w:ascii="宋体" w:hAnsi="宋体" w:eastAsia="宋体"/>
          <w:sz w:val="24"/>
          <w:szCs w:val="24"/>
          <w:lang w:val="en-US" w:eastAsia="zh-CN"/>
        </w:rPr>
        <w:t>启东市自来水厂有限公司钢管2026-2027年度采购清单</w:t>
      </w:r>
      <w:r>
        <w:rPr>
          <w:rFonts w:hint="eastAsia" w:ascii="宋体" w:hAnsi="宋体" w:eastAsia="宋体" w:cs="宋体"/>
          <w:sz w:val="24"/>
          <w:szCs w:val="24"/>
          <w:lang w:val="en-US" w:eastAsia="zh-CN"/>
        </w:rPr>
        <w:t>》。</w:t>
      </w:r>
    </w:p>
    <w:p w14:paraId="2D1BEE90">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82" w:firstLineChars="200"/>
        <w:jc w:val="both"/>
        <w:textAlignment w:val="auto"/>
        <w:rPr>
          <w:rFonts w:hint="default" w:cs="宋体"/>
          <w:b/>
          <w:bCs/>
          <w:color w:val="000000"/>
          <w:sz w:val="24"/>
          <w:szCs w:val="24"/>
          <w:lang w:val="en-US" w:eastAsia="zh-CN"/>
        </w:rPr>
      </w:pPr>
      <w:r>
        <w:rPr>
          <w:rFonts w:hint="eastAsia" w:cs="宋体"/>
          <w:b/>
          <w:bCs/>
          <w:color w:val="000000"/>
          <w:sz w:val="24"/>
          <w:szCs w:val="24"/>
          <w:lang w:val="en-US" w:eastAsia="zh-CN"/>
        </w:rPr>
        <w:t>二、技术要求</w:t>
      </w:r>
    </w:p>
    <w:p w14:paraId="3AE2D82E">
      <w:pPr>
        <w:keepNext w:val="0"/>
        <w:keepLines w:val="0"/>
        <w:pageBreakBefore w:val="0"/>
        <w:widowControl w:val="0"/>
        <w:kinsoku/>
        <w:wordWrap/>
        <w:overflowPunct/>
        <w:topLinePunct w:val="0"/>
        <w:autoSpaceDE/>
        <w:autoSpaceDN/>
        <w:bidi w:val="0"/>
        <w:adjustRightInd w:val="0"/>
        <w:snapToGrid w:val="0"/>
        <w:spacing w:line="460" w:lineRule="exact"/>
        <w:ind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材料标准及要求</w:t>
      </w:r>
    </w:p>
    <w:p w14:paraId="4D73EBB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质量标准</w:t>
      </w:r>
    </w:p>
    <w:p w14:paraId="5F065784">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（1）螺旋钢管产品材质为Q235B，执行标准为 SY/T5037－2023《普通流体输送管道用埋弧焊钢管》。</w:t>
      </w:r>
    </w:p>
    <w:p w14:paraId="2CE460C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①无缝钢管通过质量体系标准GB/T8163-2018《输送流体用无缝钢管》, GB/T2102-2022《钢管的验收、包装、标志和质量证明书》。</w:t>
      </w:r>
    </w:p>
    <w:p w14:paraId="71F11D0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 GB/T17395-2024《钢管尺寸、外形、重量及允许偏差》。</w:t>
      </w:r>
    </w:p>
    <w:p w14:paraId="4028BF0F">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正负公差要求：实际壁厚下差负10%以内。</w:t>
      </w:r>
    </w:p>
    <w:p w14:paraId="082A57A0">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材质修补</w:t>
      </w:r>
    </w:p>
    <w:p w14:paraId="02E0E08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管道上不允许有影响正常使用的缺陷，也不允许对影响使用缺陷进行任何形式的修补。</w:t>
      </w:r>
    </w:p>
    <w:p w14:paraId="571C5F4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货物质保期</w:t>
      </w:r>
    </w:p>
    <w:p w14:paraId="534818C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自货物安装调试完毕，经验收合格并全线通水运行后</w:t>
      </w:r>
      <w:r>
        <w:rPr>
          <w:rFonts w:hint="eastAsia" w:ascii="宋体" w:hAnsi="宋体" w:eastAsia="宋体" w:cs="宋体"/>
          <w:sz w:val="24"/>
          <w:szCs w:val="24"/>
          <w:lang w:val="en-US" w:eastAsia="zh-CN"/>
        </w:rPr>
        <w:t>3年</w:t>
      </w:r>
      <w:r>
        <w:rPr>
          <w:rFonts w:hint="eastAsia" w:ascii="宋体" w:hAnsi="宋体" w:eastAsia="宋体" w:cs="宋体"/>
          <w:sz w:val="24"/>
          <w:szCs w:val="24"/>
        </w:rPr>
        <w:t>。</w:t>
      </w:r>
    </w:p>
    <w:p w14:paraId="21D409C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风险责任</w:t>
      </w:r>
    </w:p>
    <w:p w14:paraId="7100C01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在货物运抵交货现场未交货验收之前，卖方应承担全部风险责任。</w:t>
      </w:r>
    </w:p>
    <w:p w14:paraId="4A8A3A7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售后服务</w:t>
      </w:r>
    </w:p>
    <w:p w14:paraId="3465C837">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w:t>
      </w:r>
      <w:r>
        <w:rPr>
          <w:rFonts w:hint="eastAsia" w:ascii="宋体" w:hAnsi="宋体" w:eastAsia="宋体" w:cs="宋体"/>
          <w:sz w:val="24"/>
          <w:szCs w:val="24"/>
        </w:rPr>
        <w:t>方在成交后，应提交所有货物的制造进度计划，还应包括相应的主</w:t>
      </w:r>
      <w:r>
        <w:rPr>
          <w:rFonts w:hint="eastAsia" w:ascii="宋体" w:hAnsi="宋体" w:eastAsia="宋体" w:cs="宋体"/>
          <w:color w:val="auto"/>
          <w:sz w:val="24"/>
          <w:szCs w:val="24"/>
        </w:rPr>
        <w:t>要材料技术文件，如技术参数等。以上文件应在合同生效后一周内提供给买方，否则视为违约，并</w:t>
      </w:r>
      <w:r>
        <w:rPr>
          <w:rFonts w:hint="eastAsia" w:ascii="宋体" w:hAnsi="宋体" w:eastAsia="宋体" w:cs="宋体"/>
          <w:sz w:val="24"/>
          <w:szCs w:val="24"/>
        </w:rPr>
        <w:t>视为自动放弃成交资格，</w:t>
      </w:r>
      <w:r>
        <w:rPr>
          <w:rFonts w:hint="eastAsia" w:ascii="宋体" w:hAnsi="宋体" w:eastAsia="宋体" w:cs="宋体"/>
          <w:sz w:val="24"/>
          <w:szCs w:val="24"/>
          <w:lang w:val="en-US" w:eastAsia="zh-CN"/>
        </w:rPr>
        <w:t>需</w:t>
      </w:r>
      <w:r>
        <w:rPr>
          <w:rFonts w:hint="eastAsia" w:ascii="宋体" w:hAnsi="宋体" w:eastAsia="宋体" w:cs="宋体"/>
          <w:sz w:val="24"/>
          <w:szCs w:val="24"/>
        </w:rPr>
        <w:t>方有权解除本合同，不予返还履约保证金。</w:t>
      </w:r>
    </w:p>
    <w:p w14:paraId="5BEE156B">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根据需方要求，供方安排有资格的工程技术人员对现场施工进行培训和指导，提供钢管安装手册，如发生质量问题，供方需在第一时间赶到现场并无偿负责解决。</w:t>
      </w:r>
    </w:p>
    <w:p w14:paraId="5DD62CD1">
      <w:pPr>
        <w:keepNext w:val="0"/>
        <w:keepLines w:val="0"/>
        <w:pageBreakBefore w:val="0"/>
        <w:widowControl w:val="0"/>
        <w:kinsoku/>
        <w:wordWrap/>
        <w:overflowPunct/>
        <w:topLinePunct w:val="0"/>
        <w:autoSpaceDE/>
        <w:autoSpaceDN/>
        <w:bidi w:val="0"/>
        <w:adjustRightInd w:val="0"/>
        <w:snapToGrid w:val="0"/>
        <w:spacing w:line="460" w:lineRule="exact"/>
        <w:ind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材料防腐标准及要求</w:t>
      </w:r>
    </w:p>
    <w:p w14:paraId="64BB81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外防腐</w:t>
      </w:r>
    </w:p>
    <w:p w14:paraId="3FC694DA">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所有钢制管道外壁均作IPN8710加强级防腐。</w:t>
      </w:r>
    </w:p>
    <w:p w14:paraId="32EDB019">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防腐层结构</w:t>
      </w:r>
    </w:p>
    <w:p w14:paraId="5495D44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埋地钢管内壁防腐层结构：先采用底漆两道,再用面漆两道,涂层干膜总厚度≥200μm。</w:t>
      </w:r>
    </w:p>
    <w:p w14:paraId="57078DD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rPr>
        <w:t>埋地钢管外壁防腐层结构：底漆—面漆—玻璃丝布—面漆—玻璃丝布—面漆—面漆。</w:t>
      </w:r>
    </w:p>
    <w:p w14:paraId="23E50C5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架空钢管内壁防腐层结构：先采用底漆两道,再用面漆两道,涂层干膜总厚度≥200μm。</w:t>
      </w:r>
    </w:p>
    <w:p w14:paraId="520ECDD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架空钢管外壁防腐层结构:底漆一层、再涂底漆一层，面层一层，最后涂面漆（具有防紫外线辐射能力）</w:t>
      </w:r>
      <w:r>
        <w:rPr>
          <w:rFonts w:hint="eastAsia" w:ascii="宋体" w:hAnsi="宋体" w:eastAsia="宋体" w:cs="宋体"/>
          <w:sz w:val="24"/>
          <w:szCs w:val="24"/>
          <w:highlight w:val="none"/>
        </w:rPr>
        <w:t>二层,颜色按GSB05-1426-2001标准，</w:t>
      </w:r>
      <w:r>
        <w:rPr>
          <w:rFonts w:hint="eastAsia" w:ascii="宋体" w:hAnsi="宋体" w:eastAsia="宋体" w:cs="宋体"/>
          <w:sz w:val="24"/>
          <w:szCs w:val="24"/>
        </w:rPr>
        <w:t>孔雀蓝，色号：5 PB11。</w:t>
      </w:r>
    </w:p>
    <w:p w14:paraId="49759B4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⑤</w:t>
      </w:r>
      <w:r>
        <w:rPr>
          <w:rFonts w:hint="eastAsia" w:ascii="宋体" w:hAnsi="宋体" w:eastAsia="宋体" w:cs="宋体"/>
          <w:sz w:val="24"/>
          <w:szCs w:val="24"/>
        </w:rPr>
        <w:t>顶管外壁防腐层结构：底漆—面漆—玻璃丝布—面漆—玻璃丝布—面漆—玻璃丝布—面漆—面漆。</w:t>
      </w:r>
    </w:p>
    <w:p w14:paraId="1DF2958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⑥</w:t>
      </w:r>
      <w:r>
        <w:rPr>
          <w:rFonts w:hint="eastAsia" w:ascii="宋体" w:hAnsi="宋体" w:eastAsia="宋体" w:cs="宋体"/>
          <w:sz w:val="24"/>
          <w:szCs w:val="24"/>
        </w:rPr>
        <w:t>防爬刺及爬梯等钢件防腐层结构：底漆两遍，面漆两遍。</w:t>
      </w:r>
    </w:p>
    <w:p w14:paraId="72B722CD">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除锈</w:t>
      </w:r>
    </w:p>
    <w:p w14:paraId="244CA2D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严格按照SY/T 04</w:t>
      </w:r>
      <w:r>
        <w:rPr>
          <w:rFonts w:hint="eastAsia" w:ascii="宋体" w:hAnsi="宋体" w:eastAsia="宋体" w:cs="宋体"/>
          <w:sz w:val="24"/>
          <w:szCs w:val="24"/>
          <w:highlight w:val="none"/>
        </w:rPr>
        <w:t>07－20</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涂装前钢材表面处理规范》中的规定，对钢管表面进行机械抛丸或喷砂除锈，处理后的钢管表面最低要求应达到Sa2.5级，表面粗糙度宜在40-50μm。若采用喷砂除锈的,必须使用石英砂。钢管表面处理后，其表面的灰尘应清除干净，焊缝应处理至无焊瘤、无棱角、无毛刺。</w:t>
      </w:r>
    </w:p>
    <w:p w14:paraId="69469A72">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质量要求</w:t>
      </w:r>
    </w:p>
    <w:p w14:paraId="13D0393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漆膜饱满，玻璃布网眼均匀、牢固、为面漆所填满，玻璃布要求包紧、不翘、不皱不漏色，涂料不流淌。</w:t>
      </w:r>
    </w:p>
    <w:p w14:paraId="7A2554A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漆层厚度要均匀，质量要稳定，表面光洁平整，不允许有涂层剥落、缺陷、挂浆、流淌、较高螺纹线与较大麻点存在。</w:t>
      </w:r>
    </w:p>
    <w:p w14:paraId="6E2C2FE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总涂装厚度符合相应技术要求。</w:t>
      </w:r>
    </w:p>
    <w:p w14:paraId="750AB44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焊缝处填嵌结实、平整、不得有露网或空鼓。</w:t>
      </w:r>
    </w:p>
    <w:p w14:paraId="7A168C4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rPr>
        <w:t>光滑度的测定：以手触摸，无明显粗糙感。</w:t>
      </w:r>
    </w:p>
    <w:p w14:paraId="7DEC817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5、使用寿命大于50年。</w:t>
      </w:r>
    </w:p>
    <w:p w14:paraId="2C7D3F1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内防腐</w:t>
      </w:r>
    </w:p>
    <w:p w14:paraId="7BC09175">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所有钢制管道的内壁包括施工现场处理的焊缝接口内壁，均采用食品级IPN8710互穿网络防腐涂料。</w:t>
      </w:r>
    </w:p>
    <w:p w14:paraId="5B7DF11B">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防腐层结构：先采用IPN8710-1B底漆两道，再用IPN8710-3B面漆两道，涂层干膜总厚度≥200μm。</w:t>
      </w:r>
    </w:p>
    <w:p w14:paraId="28D0EEF8">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除锈</w:t>
      </w:r>
    </w:p>
    <w:p w14:paraId="273FB23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①</w:t>
      </w:r>
      <w:r>
        <w:rPr>
          <w:rFonts w:hint="eastAsia" w:ascii="宋体" w:hAnsi="宋体" w:eastAsia="宋体" w:cs="宋体"/>
          <w:sz w:val="24"/>
          <w:szCs w:val="24"/>
          <w:highlight w:val="none"/>
        </w:rPr>
        <w:t>按SY/T 0407－20</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《涂装前钢</w:t>
      </w:r>
      <w:r>
        <w:rPr>
          <w:rFonts w:hint="eastAsia" w:ascii="宋体" w:hAnsi="宋体" w:eastAsia="宋体" w:cs="宋体"/>
          <w:sz w:val="24"/>
          <w:szCs w:val="24"/>
        </w:rPr>
        <w:t>材表面处理规范》或等同国际标准进行机械抛丸或喷砂除锈，去除钢管内壁表面的氧化皮及锈蚀和其它的污物，采用机械抛丸或喷砂除锈，表面处理效果最低要求应达到Sa2.5级。若采用喷砂除锈的,必须使用石英砂。</w:t>
      </w:r>
    </w:p>
    <w:p w14:paraId="7E68F1A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rPr>
        <w:t>钢管内壁不允许有锈皮、电焊渣、油污及过多的水滴，污物需全部清除。</w:t>
      </w:r>
    </w:p>
    <w:p w14:paraId="52CB469D">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质量要求</w:t>
      </w:r>
    </w:p>
    <w:p w14:paraId="15CF1A81">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涂层表面应具有良好的光滑度，磨阻小，抗磨损，并能阻止微生物或藻类的滋生，无气泡，不起皮，无漏铁现象。</w:t>
      </w:r>
    </w:p>
    <w:p w14:paraId="1435EF64">
      <w:pPr>
        <w:keepNext w:val="0"/>
        <w:keepLines w:val="0"/>
        <w:pageBreakBefore w:val="0"/>
        <w:widowControl w:val="0"/>
        <w:kinsoku/>
        <w:wordWrap/>
        <w:overflowPunct/>
        <w:topLinePunct w:val="0"/>
        <w:autoSpaceDE/>
        <w:autoSpaceDN/>
        <w:bidi w:val="0"/>
        <w:adjustRightInd w:val="0"/>
        <w:snapToGrid w:val="0"/>
        <w:spacing w:line="4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使用寿命大于50年。</w:t>
      </w:r>
    </w:p>
    <w:p w14:paraId="0A7EDB13">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val="0"/>
          <w:kern w:val="0"/>
          <w:sz w:val="24"/>
          <w:szCs w:val="24"/>
          <w:highlight w:val="none"/>
          <w:lang w:val="en-US" w:eastAsia="zh-CN" w:bidi="ar"/>
        </w:rPr>
        <w:t>（二）供货周期要求</w:t>
      </w:r>
      <w:r>
        <w:rPr>
          <w:rFonts w:hint="eastAsia" w:ascii="宋体" w:hAnsi="宋体" w:eastAsia="宋体" w:cs="宋体"/>
          <w:bCs/>
          <w:kern w:val="0"/>
          <w:sz w:val="24"/>
          <w:szCs w:val="24"/>
          <w:highlight w:val="none"/>
          <w:lang w:val="en-US" w:eastAsia="zh-CN" w:bidi="ar"/>
        </w:rPr>
        <w:t>：</w:t>
      </w:r>
      <w:r>
        <w:rPr>
          <w:rStyle w:val="29"/>
          <w:rFonts w:hint="eastAsia" w:ascii="宋体" w:hAnsi="宋体" w:eastAsia="宋体" w:cs="宋体"/>
          <w:kern w:val="0"/>
          <w:sz w:val="24"/>
          <w:szCs w:val="24"/>
          <w:highlight w:val="none"/>
        </w:rPr>
        <w:t>1年</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lang w:val="en-US" w:eastAsia="zh-CN"/>
        </w:rPr>
        <w:t>自合同签订之日起一年</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。若</w:t>
      </w:r>
      <w:r>
        <w:rPr>
          <w:rStyle w:val="29"/>
          <w:rFonts w:hint="eastAsia" w:ascii="宋体" w:hAnsi="宋体" w:eastAsia="宋体" w:cs="宋体"/>
          <w:kern w:val="0"/>
          <w:sz w:val="24"/>
          <w:szCs w:val="24"/>
          <w:highlight w:val="none"/>
          <w:lang w:val="en-US" w:eastAsia="zh-CN"/>
        </w:rPr>
        <w:t>成交供应商</w:t>
      </w:r>
      <w:r>
        <w:rPr>
          <w:rStyle w:val="29"/>
          <w:rFonts w:hint="eastAsia" w:ascii="宋体" w:hAnsi="宋体" w:eastAsia="宋体" w:cs="宋体"/>
          <w:kern w:val="0"/>
          <w:sz w:val="24"/>
          <w:szCs w:val="24"/>
          <w:highlight w:val="none"/>
        </w:rPr>
        <w:t>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20%作为违约金。</w:t>
      </w:r>
    </w:p>
    <w:p w14:paraId="59E6FCFA">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default" w:ascii="宋体" w:hAnsi="宋体" w:eastAsia="宋体" w:cs="宋体"/>
          <w:bCs/>
          <w:kern w:val="0"/>
          <w:sz w:val="24"/>
          <w:szCs w:val="24"/>
          <w:highlight w:val="none"/>
          <w:lang w:val="en-US" w:eastAsia="zh-CN" w:bidi="ar"/>
        </w:rPr>
      </w:pPr>
      <w:r>
        <w:rPr>
          <w:rStyle w:val="29"/>
          <w:rFonts w:hint="eastAsia" w:ascii="宋体" w:hAnsi="宋体" w:eastAsia="宋体" w:cs="宋体"/>
          <w:b/>
          <w:bCs/>
          <w:kern w:val="0"/>
          <w:sz w:val="24"/>
          <w:szCs w:val="24"/>
          <w:highlight w:val="none"/>
          <w:lang w:val="en-US" w:eastAsia="zh-CN"/>
        </w:rPr>
        <w:t>（三）质保要求：</w:t>
      </w:r>
      <w:r>
        <w:rPr>
          <w:rStyle w:val="29"/>
          <w:rFonts w:hint="eastAsia" w:ascii="宋体" w:hAnsi="宋体" w:eastAsia="宋体" w:cs="宋体"/>
          <w:kern w:val="0"/>
          <w:sz w:val="24"/>
          <w:szCs w:val="24"/>
          <w:highlight w:val="none"/>
          <w:lang w:val="en-US" w:eastAsia="zh-CN"/>
        </w:rPr>
        <w:t>供应商</w:t>
      </w:r>
      <w:r>
        <w:rPr>
          <w:rStyle w:val="29"/>
          <w:rFonts w:hint="eastAsia" w:ascii="宋体" w:hAnsi="宋体" w:eastAsia="宋体" w:cs="宋体"/>
          <w:kern w:val="0"/>
          <w:sz w:val="24"/>
          <w:szCs w:val="24"/>
          <w:highlight w:val="none"/>
        </w:rPr>
        <w:t>报价时须承诺所供货物的免费质保期为</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年（原厂质保期高于供应商承诺质保期的，按原厂质保期计算。自验收合格报告签字确认日起，开始进入质保期）。</w:t>
      </w:r>
    </w:p>
    <w:p w14:paraId="25E11C8B">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Style w:val="29"/>
          <w:rFonts w:hint="default" w:ascii="宋体" w:hAnsi="宋体" w:eastAsia="宋体" w:cs="宋体"/>
          <w:b/>
          <w:bCs/>
          <w:kern w:val="0"/>
          <w:sz w:val="24"/>
          <w:szCs w:val="24"/>
          <w:highlight w:val="none"/>
          <w:lang w:val="en-US" w:eastAsia="zh-CN"/>
        </w:rPr>
      </w:pPr>
      <w:r>
        <w:rPr>
          <w:rStyle w:val="29"/>
          <w:rFonts w:hint="eastAsia" w:ascii="宋体" w:hAnsi="宋体" w:eastAsia="宋体" w:cs="宋体"/>
          <w:b/>
          <w:bCs/>
          <w:kern w:val="0"/>
          <w:sz w:val="24"/>
          <w:szCs w:val="24"/>
          <w:highlight w:val="none"/>
          <w:lang w:val="en-US" w:eastAsia="zh-CN"/>
        </w:rPr>
        <w:t>三、约定事项</w:t>
      </w:r>
    </w:p>
    <w:p w14:paraId="2BF36291">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rPr>
        <w:t>参与报价的单位需将</w:t>
      </w:r>
      <w:r>
        <w:rPr>
          <w:rStyle w:val="29"/>
          <w:rFonts w:hint="eastAsia" w:ascii="宋体" w:hAnsi="宋体" w:eastAsia="宋体" w:cs="宋体"/>
          <w:kern w:val="0"/>
          <w:sz w:val="24"/>
          <w:szCs w:val="24"/>
          <w:highlight w:val="none"/>
          <w:lang w:val="en-US" w:eastAsia="zh-CN"/>
        </w:rPr>
        <w:t>有效的</w:t>
      </w:r>
      <w:r>
        <w:rPr>
          <w:rStyle w:val="29"/>
          <w:rFonts w:hint="eastAsia" w:ascii="宋体" w:hAnsi="宋体" w:eastAsia="宋体" w:cs="宋体"/>
          <w:kern w:val="0"/>
          <w:sz w:val="24"/>
          <w:szCs w:val="24"/>
          <w:highlight w:val="none"/>
        </w:rPr>
        <w:t>营业执照复印件</w:t>
      </w:r>
      <w:r>
        <w:rPr>
          <w:rStyle w:val="29"/>
          <w:rFonts w:hint="eastAsia" w:ascii="宋体" w:hAnsi="宋体" w:eastAsia="宋体" w:cs="宋体"/>
          <w:kern w:val="0"/>
          <w:sz w:val="24"/>
          <w:szCs w:val="24"/>
          <w:highlight w:val="none"/>
          <w:lang w:eastAsia="zh-CN"/>
        </w:rPr>
        <w:t>、</w:t>
      </w:r>
      <w:r>
        <w:rPr>
          <w:rStyle w:val="29"/>
          <w:rFonts w:hint="eastAsia" w:ascii="宋体" w:hAnsi="宋体" w:eastAsia="宋体" w:cs="宋体"/>
          <w:kern w:val="0"/>
          <w:sz w:val="24"/>
          <w:szCs w:val="24"/>
          <w:highlight w:val="none"/>
        </w:rPr>
        <w:t>市场询价</w:t>
      </w:r>
      <w:r>
        <w:rPr>
          <w:rStyle w:val="29"/>
          <w:rFonts w:hint="eastAsia" w:ascii="宋体" w:hAnsi="宋体" w:eastAsia="宋体" w:cs="宋体"/>
          <w:kern w:val="0"/>
          <w:sz w:val="24"/>
          <w:szCs w:val="24"/>
          <w:highlight w:val="none"/>
          <w:lang w:val="en-US" w:eastAsia="zh-CN"/>
        </w:rPr>
        <w:t>报价单等（详见第3条）</w:t>
      </w:r>
      <w:r>
        <w:rPr>
          <w:rStyle w:val="29"/>
          <w:rFonts w:hint="eastAsia" w:ascii="宋体" w:hAnsi="宋体" w:eastAsia="宋体" w:cs="宋体"/>
          <w:kern w:val="0"/>
          <w:sz w:val="24"/>
          <w:szCs w:val="24"/>
          <w:highlight w:val="none"/>
        </w:rPr>
        <w:t>于202</w:t>
      </w: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年</w:t>
      </w:r>
      <w:r>
        <w:rPr>
          <w:rStyle w:val="29"/>
          <w:rFonts w:hint="eastAsia" w:ascii="宋体" w:hAnsi="宋体" w:eastAsia="宋体" w:cs="宋体"/>
          <w:kern w:val="0"/>
          <w:sz w:val="24"/>
          <w:szCs w:val="24"/>
          <w:highlight w:val="none"/>
          <w:lang w:val="en-US" w:eastAsia="zh-CN"/>
        </w:rPr>
        <w:t>6</w:t>
      </w:r>
      <w:r>
        <w:rPr>
          <w:rStyle w:val="29"/>
          <w:rFonts w:hint="eastAsia" w:ascii="宋体" w:hAnsi="宋体" w:eastAsia="宋体" w:cs="宋体"/>
          <w:kern w:val="0"/>
          <w:sz w:val="24"/>
          <w:szCs w:val="24"/>
          <w:highlight w:val="none"/>
        </w:rPr>
        <w:t>月</w:t>
      </w:r>
      <w:r>
        <w:rPr>
          <w:rStyle w:val="29"/>
          <w:rFonts w:hint="eastAsia" w:ascii="宋体" w:hAnsi="宋体" w:eastAsia="宋体" w:cs="宋体"/>
          <w:kern w:val="0"/>
          <w:sz w:val="24"/>
          <w:szCs w:val="24"/>
          <w:highlight w:val="none"/>
          <w:lang w:val="en-US" w:eastAsia="zh-CN"/>
        </w:rPr>
        <w:t>23</w:t>
      </w:r>
      <w:r>
        <w:rPr>
          <w:rStyle w:val="29"/>
          <w:rFonts w:hint="eastAsia" w:ascii="宋体" w:hAnsi="宋体" w:eastAsia="宋体" w:cs="宋体"/>
          <w:kern w:val="0"/>
          <w:sz w:val="24"/>
          <w:szCs w:val="24"/>
          <w:highlight w:val="none"/>
        </w:rPr>
        <w:t>日17:00前</w:t>
      </w:r>
      <w:r>
        <w:rPr>
          <w:rStyle w:val="29"/>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启东市汇龙镇万豪花园29幢别墅</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顾张瑜</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0513-83352336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lang w:val="en-US" w:eastAsia="zh-CN"/>
        </w:rPr>
        <w:t>fgyjszx</w:t>
      </w:r>
      <w:r>
        <w:rPr>
          <w:rFonts w:hint="eastAsia" w:ascii="宋体" w:hAnsi="宋体" w:eastAsia="宋体" w:cs="宋体"/>
          <w:color w:val="auto"/>
          <w:sz w:val="24"/>
          <w:szCs w:val="24"/>
          <w:highlight w:val="none"/>
          <w:u w:val="single"/>
          <w:lang w:val="en-US" w:eastAsia="zh-CN"/>
        </w:rPr>
        <w:t xml:space="preserve">@163.com </w:t>
      </w:r>
      <w:r>
        <w:rPr>
          <w:rFonts w:hint="eastAsia" w:ascii="宋体" w:hAnsi="宋体" w:eastAsia="宋体" w:cs="宋体"/>
          <w:color w:val="auto"/>
          <w:sz w:val="24"/>
          <w:szCs w:val="24"/>
          <w:highlight w:val="none"/>
        </w:rPr>
        <w:t>。</w:t>
      </w:r>
    </w:p>
    <w:p w14:paraId="5E26F5D0">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color w:val="auto"/>
          <w:kern w:val="0"/>
          <w:sz w:val="24"/>
          <w:szCs w:val="24"/>
          <w:highlight w:val="none"/>
        </w:rPr>
      </w:pPr>
      <w:r>
        <w:rPr>
          <w:rStyle w:val="29"/>
          <w:rFonts w:hint="eastAsia" w:ascii="宋体" w:hAnsi="宋体" w:eastAsia="宋体" w:cs="宋体"/>
          <w:color w:val="auto"/>
          <w:kern w:val="0"/>
          <w:sz w:val="24"/>
          <w:szCs w:val="24"/>
          <w:highlight w:val="none"/>
          <w:lang w:val="en-US" w:eastAsia="zh-CN"/>
        </w:rPr>
        <w:t>2、</w:t>
      </w:r>
      <w:r>
        <w:rPr>
          <w:rStyle w:val="29"/>
          <w:rFonts w:hint="eastAsia" w:ascii="宋体" w:hAnsi="宋体" w:eastAsia="宋体" w:cs="宋体"/>
          <w:color w:val="auto"/>
          <w:kern w:val="0"/>
          <w:sz w:val="24"/>
          <w:szCs w:val="24"/>
          <w:highlight w:val="none"/>
        </w:rPr>
        <w:t>报价费用说明：</w:t>
      </w:r>
    </w:p>
    <w:p w14:paraId="7BAD2A4F">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1</w:t>
      </w:r>
      <w:r>
        <w:rPr>
          <w:rStyle w:val="29"/>
          <w:rFonts w:hint="eastAsia" w:ascii="宋体" w:hAnsi="宋体" w:eastAsia="宋体" w:cs="宋体"/>
          <w:kern w:val="0"/>
          <w:sz w:val="24"/>
          <w:szCs w:val="24"/>
          <w:highlight w:val="none"/>
          <w:lang w:val="en-US" w:eastAsia="zh-CN"/>
        </w:rPr>
        <w:t>）本项目采取固定单价报价，各供应商每项的分项综合单价含税报价与分项最高含税限价相比的下浮率必须一致，否则作无效标处理。</w:t>
      </w:r>
    </w:p>
    <w:p w14:paraId="62F7B98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9"/>
          <w:rFonts w:hint="default"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2）本项目采取固定单价报价，此报价包括但不限于货物的制作、运输（含上下人力费）、材料检测费、保险、装卸、配件、税率:13%（若供货方开票税率不符合要求的，则须按实向采购方结付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投标单价在项目实施期间，不因市场价格波动和其他各种风险因素影响而变动，最终按实际采购数量结算。</w:t>
      </w:r>
    </w:p>
    <w:p w14:paraId="530588CC">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b/>
          <w:bCs/>
          <w:sz w:val="24"/>
          <w:szCs w:val="24"/>
          <w:highlight w:val="none"/>
          <w:lang w:eastAsia="zh-CN"/>
        </w:rPr>
      </w:pPr>
      <w:r>
        <w:rPr>
          <w:rStyle w:val="29"/>
          <w:rFonts w:hint="eastAsia" w:ascii="宋体" w:hAnsi="宋体" w:eastAsia="宋体" w:cs="宋体"/>
          <w:b/>
          <w:bCs/>
          <w:kern w:val="0"/>
          <w:sz w:val="24"/>
          <w:szCs w:val="24"/>
          <w:highlight w:val="none"/>
          <w:lang w:val="en-US" w:eastAsia="zh-CN"/>
        </w:rPr>
        <w:t>3、</w:t>
      </w:r>
      <w:r>
        <w:rPr>
          <w:rFonts w:hint="eastAsia" w:ascii="宋体" w:hAnsi="宋体" w:eastAsia="宋体" w:cs="宋体"/>
          <w:b/>
          <w:bCs/>
          <w:sz w:val="24"/>
          <w:szCs w:val="24"/>
          <w:highlight w:val="none"/>
        </w:rPr>
        <w:t>报价单位须提供</w:t>
      </w:r>
      <w:r>
        <w:rPr>
          <w:rFonts w:hint="eastAsia" w:ascii="宋体" w:hAnsi="宋体" w:eastAsia="宋体" w:cs="宋体"/>
          <w:b/>
          <w:bCs/>
          <w:sz w:val="24"/>
          <w:szCs w:val="24"/>
          <w:highlight w:val="none"/>
          <w:lang w:eastAsia="zh-CN"/>
        </w:rPr>
        <w:t>：</w:t>
      </w:r>
    </w:p>
    <w:p w14:paraId="7BF74B24">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（1）有效的营业执照复印件（</w:t>
      </w:r>
      <w:r>
        <w:rPr>
          <w:rFonts w:hint="eastAsia" w:ascii="宋体" w:hAnsi="宋体" w:eastAsia="宋体" w:cs="宋体"/>
          <w:b/>
          <w:bCs/>
          <w:sz w:val="24"/>
          <w:szCs w:val="24"/>
          <w:highlight w:val="none"/>
        </w:rPr>
        <w:t>加盖报价</w:t>
      </w:r>
      <w:r>
        <w:rPr>
          <w:rFonts w:hint="eastAsia" w:ascii="宋体" w:hAnsi="宋体" w:eastAsia="宋体" w:cs="宋体"/>
          <w:b/>
          <w:bCs/>
          <w:sz w:val="24"/>
          <w:szCs w:val="24"/>
          <w:highlight w:val="none"/>
          <w:lang w:val="en-US" w:eastAsia="zh-CN"/>
        </w:rPr>
        <w:t>单位</w:t>
      </w:r>
      <w:r>
        <w:rPr>
          <w:rFonts w:hint="eastAsia" w:ascii="宋体" w:hAnsi="宋体" w:eastAsia="宋体" w:cs="宋体"/>
          <w:b/>
          <w:bCs/>
          <w:sz w:val="24"/>
          <w:szCs w:val="24"/>
          <w:highlight w:val="none"/>
        </w:rPr>
        <w:t>公章</w:t>
      </w:r>
      <w:r>
        <w:rPr>
          <w:rFonts w:hint="eastAsia" w:ascii="宋体" w:hAnsi="宋体" w:eastAsia="宋体" w:cs="宋体"/>
          <w:b/>
          <w:bCs/>
          <w:sz w:val="24"/>
          <w:szCs w:val="24"/>
          <w:highlight w:val="none"/>
          <w:lang w:val="en-US" w:eastAsia="zh-CN"/>
        </w:rPr>
        <w:t>）；</w:t>
      </w:r>
    </w:p>
    <w:p w14:paraId="79A42F33">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（2）未被“信用中国”网站列入严重失信主体名单、重大税收违法失信主体名单、政府采购严重违法失信行为记录名单（提供网页截图加盖投标单位公章）；</w:t>
      </w:r>
    </w:p>
    <w:p w14:paraId="06F3322E">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default"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）提供质量管理体系认证证书、环境管理体系认证证书，证书须在有效期内；</w:t>
      </w:r>
    </w:p>
    <w:p w14:paraId="354523AF">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（4）提供的投标货物自2023年1月1日以来具有有效的质量检测报告。</w:t>
      </w:r>
    </w:p>
    <w:p w14:paraId="350BF842">
      <w:pPr>
        <w:keepNext w:val="0"/>
        <w:keepLines w:val="0"/>
        <w:pageBreakBefore w:val="0"/>
        <w:widowControl w:val="0"/>
        <w:kinsoku/>
        <w:wordWrap/>
        <w:overflowPunct/>
        <w:topLinePunct w:val="0"/>
        <w:autoSpaceDE/>
        <w:autoSpaceDN/>
        <w:bidi w:val="0"/>
        <w:adjustRightInd/>
        <w:snapToGrid/>
        <w:spacing w:line="400" w:lineRule="exact"/>
        <w:ind w:right="0" w:rightChars="0"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（5）市场询价报价单（格式详见附件）。</w:t>
      </w:r>
    </w:p>
    <w:p w14:paraId="2D4F13EB">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4、拟定支付方式及期限：本次采购量为预估量，最终结算按每次实际采购量计，每次供货完毕并经验收合格后，收到供货方相应的增值税专用发票后30天内支付该批订单的90%货款，剩余10%的货款于合同期结束满3年后，经采购单位认可后一次性结清。若供货方未开具发票，采购方有权拒付相应款项，并不承担相应的逾期付款的违约责任。</w:t>
      </w:r>
    </w:p>
    <w:p w14:paraId="0C9DB1C6">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rPr>
      </w:pPr>
      <w:r>
        <w:rPr>
          <w:rStyle w:val="29"/>
          <w:rFonts w:hint="eastAsia" w:ascii="宋体" w:hAnsi="宋体" w:eastAsia="宋体" w:cs="宋体"/>
          <w:kern w:val="0"/>
          <w:sz w:val="24"/>
          <w:szCs w:val="24"/>
          <w:highlight w:val="none"/>
          <w:lang w:val="en-US" w:eastAsia="zh-CN"/>
        </w:rPr>
        <w:t>注:供货方申请付款的程序应符合采购方的财务规定。</w:t>
      </w:r>
      <w:r>
        <w:rPr>
          <w:rStyle w:val="29"/>
          <w:rFonts w:hint="eastAsia" w:ascii="宋体" w:hAnsi="宋体" w:eastAsia="宋体" w:cs="宋体"/>
          <w:kern w:val="0"/>
          <w:sz w:val="24"/>
          <w:szCs w:val="24"/>
          <w:highlight w:val="none"/>
        </w:rPr>
        <w:t xml:space="preserve"> </w:t>
      </w:r>
    </w:p>
    <w:p w14:paraId="40EAAC75">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rPr>
        <w:t>5、</w:t>
      </w:r>
      <w:r>
        <w:rPr>
          <w:rStyle w:val="29"/>
          <w:rFonts w:hint="eastAsia" w:ascii="宋体" w:hAnsi="宋体" w:eastAsia="宋体" w:cs="宋体"/>
          <w:kern w:val="0"/>
          <w:sz w:val="24"/>
          <w:szCs w:val="24"/>
          <w:highlight w:val="none"/>
        </w:rPr>
        <w:t>其他：</w:t>
      </w:r>
      <w:r>
        <w:rPr>
          <w:rStyle w:val="29"/>
          <w:rFonts w:hint="eastAsia" w:ascii="宋体" w:hAnsi="宋体" w:eastAsia="宋体" w:cs="宋体"/>
          <w:kern w:val="0"/>
          <w:sz w:val="24"/>
          <w:szCs w:val="24"/>
          <w:highlight w:val="none"/>
          <w:lang w:val="en-US" w:eastAsia="zh-CN"/>
        </w:rPr>
        <w:t>1、</w:t>
      </w:r>
      <w:r>
        <w:rPr>
          <w:rStyle w:val="29"/>
          <w:rFonts w:hint="eastAsia" w:ascii="宋体" w:hAnsi="宋体" w:eastAsia="宋体" w:cs="宋体"/>
          <w:kern w:val="0"/>
          <w:sz w:val="24"/>
          <w:szCs w:val="24"/>
          <w:highlight w:val="none"/>
        </w:rPr>
        <w:t>请报价单位认真核算、如实报价，如发现虚假报价的，该单位今后将</w:t>
      </w:r>
      <w:r>
        <w:rPr>
          <w:rStyle w:val="29"/>
          <w:rFonts w:hint="eastAsia" w:ascii="宋体" w:hAnsi="宋体" w:eastAsia="宋体" w:cs="宋体"/>
          <w:kern w:val="0"/>
          <w:sz w:val="24"/>
          <w:szCs w:val="24"/>
          <w:highlight w:val="none"/>
          <w:lang w:val="en-US" w:eastAsia="zh-CN"/>
        </w:rPr>
        <w:t>记入</w:t>
      </w:r>
      <w:r>
        <w:rPr>
          <w:rStyle w:val="29"/>
          <w:rFonts w:hint="eastAsia" w:ascii="宋体" w:hAnsi="宋体" w:eastAsia="宋体" w:cs="宋体"/>
          <w:kern w:val="0"/>
          <w:sz w:val="24"/>
          <w:szCs w:val="24"/>
          <w:highlight w:val="none"/>
        </w:rPr>
        <w:t>采购</w:t>
      </w:r>
      <w:r>
        <w:rPr>
          <w:rStyle w:val="29"/>
          <w:rFonts w:hint="eastAsia" w:ascii="宋体" w:hAnsi="宋体" w:eastAsia="宋体" w:cs="宋体"/>
          <w:kern w:val="0"/>
          <w:sz w:val="24"/>
          <w:szCs w:val="24"/>
          <w:highlight w:val="none"/>
          <w:lang w:val="en-US" w:eastAsia="zh-CN"/>
        </w:rPr>
        <w:t>人招标市场的黑名单</w:t>
      </w:r>
      <w:r>
        <w:rPr>
          <w:rStyle w:val="29"/>
          <w:rFonts w:hint="eastAsia" w:ascii="宋体" w:hAnsi="宋体" w:eastAsia="宋体" w:cs="宋体"/>
          <w:kern w:val="0"/>
          <w:sz w:val="24"/>
          <w:szCs w:val="24"/>
          <w:highlight w:val="none"/>
        </w:rPr>
        <w:t>；</w:t>
      </w:r>
      <w:r>
        <w:rPr>
          <w:rStyle w:val="29"/>
          <w:rFonts w:hint="eastAsia" w:ascii="宋体" w:hAnsi="宋体" w:eastAsia="宋体" w:cs="宋体"/>
          <w:kern w:val="0"/>
          <w:sz w:val="24"/>
          <w:szCs w:val="24"/>
          <w:highlight w:val="none"/>
          <w:lang w:val="en-US" w:eastAsia="zh-CN"/>
        </w:rPr>
        <w:t>2、</w:t>
      </w:r>
      <w:r>
        <w:rPr>
          <w:rStyle w:val="29"/>
          <w:rFonts w:hint="eastAsia" w:ascii="宋体" w:hAnsi="宋体" w:eastAsia="宋体" w:cs="宋体"/>
          <w:kern w:val="0"/>
          <w:sz w:val="24"/>
          <w:szCs w:val="24"/>
          <w:highlight w:val="none"/>
        </w:rPr>
        <w:t>本次报价仅作为市场调研用，因此价格仅供参考；</w:t>
      </w:r>
      <w:r>
        <w:rPr>
          <w:rStyle w:val="29"/>
          <w:rFonts w:hint="eastAsia" w:ascii="宋体" w:hAnsi="宋体" w:eastAsia="宋体" w:cs="宋体"/>
          <w:kern w:val="0"/>
          <w:sz w:val="24"/>
          <w:szCs w:val="24"/>
          <w:highlight w:val="none"/>
          <w:lang w:val="en-US" w:eastAsia="zh-CN"/>
        </w:rPr>
        <w:t>3、</w:t>
      </w:r>
      <w:r>
        <w:rPr>
          <w:rStyle w:val="29"/>
          <w:rFonts w:hint="eastAsia" w:ascii="宋体" w:hAnsi="宋体" w:eastAsia="宋体" w:cs="宋体"/>
          <w:kern w:val="0"/>
          <w:sz w:val="24"/>
          <w:szCs w:val="24"/>
          <w:highlight w:val="none"/>
        </w:rPr>
        <w:t>本次调研询价不接收质疑函，只接收对本项目的建议。</w:t>
      </w:r>
    </w:p>
    <w:p w14:paraId="3DC6873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p>
    <w:p w14:paraId="1F549E5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p>
    <w:p w14:paraId="586EF4E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10B6DC4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bidi="ar-SA"/>
        </w:rPr>
        <w:t>2026年6月16</w:t>
      </w:r>
      <w:bookmarkStart w:id="0" w:name="_GoBack"/>
      <w:bookmarkEnd w:id="0"/>
      <w:r>
        <w:rPr>
          <w:rStyle w:val="29"/>
          <w:rFonts w:hint="eastAsia" w:ascii="宋体" w:hAnsi="宋体" w:eastAsia="宋体" w:cs="宋体"/>
          <w:kern w:val="0"/>
          <w:sz w:val="24"/>
          <w:szCs w:val="24"/>
          <w:highlight w:val="none"/>
          <w:lang w:val="en-US" w:eastAsia="zh-CN" w:bidi="ar-SA"/>
        </w:rPr>
        <w:t>日</w:t>
      </w:r>
    </w:p>
    <w:p w14:paraId="01933F49">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5C319F9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471B6CC3">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3AECFEF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592D01FD">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2AE6C54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7BFB7292">
      <w:pPr>
        <w:keepNext w:val="0"/>
        <w:keepLines w:val="0"/>
        <w:pageBreakBefore w:val="0"/>
        <w:widowControl w:val="0"/>
        <w:kinsoku/>
        <w:wordWrap/>
        <w:overflowPunct/>
        <w:topLinePunct w:val="0"/>
        <w:autoSpaceDE/>
        <w:autoSpaceDN/>
        <w:bidi w:val="0"/>
        <w:adjustRightInd/>
        <w:snapToGrid/>
        <w:spacing w:line="370" w:lineRule="exact"/>
        <w:jc w:val="right"/>
        <w:textAlignment w:val="auto"/>
        <w:rPr>
          <w:rStyle w:val="29"/>
          <w:rFonts w:hint="eastAsia" w:ascii="宋体" w:hAnsi="宋体" w:eastAsia="宋体" w:cs="宋体"/>
          <w:kern w:val="0"/>
          <w:sz w:val="24"/>
          <w:szCs w:val="24"/>
          <w:highlight w:val="none"/>
          <w:lang w:val="en-US" w:eastAsia="zh-CN" w:bidi="ar-SA"/>
        </w:rPr>
      </w:pPr>
    </w:p>
    <w:p w14:paraId="73B816D0">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7F323C6E">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25138BDA">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09A44874">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6615911F">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7F14560D">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4D272C89">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4DE5D9BE">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4F67F27E">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064736D3">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6B8C999C">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129594DC">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368E62D4">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p>
    <w:p w14:paraId="318A43E4">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eastAsia" w:ascii="宋体" w:hAnsi="宋体" w:eastAsia="宋体" w:cs="宋体"/>
          <w:kern w:val="0"/>
          <w:sz w:val="24"/>
          <w:szCs w:val="24"/>
          <w:highlight w:val="none"/>
          <w:lang w:val="en-US" w:eastAsia="zh-CN" w:bidi="ar-SA"/>
        </w:rPr>
      </w:pPr>
      <w:r>
        <w:rPr>
          <w:rStyle w:val="29"/>
          <w:rFonts w:hint="eastAsia" w:ascii="宋体" w:hAnsi="宋体" w:eastAsia="宋体" w:cs="宋体"/>
          <w:kern w:val="0"/>
          <w:sz w:val="24"/>
          <w:szCs w:val="24"/>
          <w:highlight w:val="none"/>
          <w:lang w:val="en-US" w:eastAsia="zh-CN" w:bidi="ar-SA"/>
        </w:rPr>
        <w:t>附件：</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977"/>
        <w:gridCol w:w="1596"/>
        <w:gridCol w:w="1148"/>
        <w:gridCol w:w="1004"/>
        <w:gridCol w:w="1329"/>
        <w:gridCol w:w="1146"/>
        <w:gridCol w:w="1106"/>
      </w:tblGrid>
      <w:tr w14:paraId="03A1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nil"/>
              <w:left w:val="nil"/>
              <w:bottom w:val="nil"/>
              <w:right w:val="nil"/>
            </w:tcBorders>
            <w:shd w:val="clear" w:color="auto" w:fill="auto"/>
            <w:vAlign w:val="center"/>
          </w:tcPr>
          <w:p w14:paraId="6DFE327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启东市自来水厂有限公司钢管2026-2027年度采购清单</w:t>
            </w:r>
          </w:p>
          <w:p w14:paraId="6FD9DF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市场询价表</w:t>
            </w:r>
          </w:p>
        </w:tc>
      </w:tr>
      <w:tr w14:paraId="3C67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nil"/>
              <w:right w:val="nil"/>
            </w:tcBorders>
            <w:shd w:val="clear" w:color="auto" w:fill="FFFFFF" w:themeFill="background1"/>
            <w:noWrap/>
            <w:vAlign w:val="center"/>
          </w:tcPr>
          <w:p w14:paraId="6155AB42">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采购项目：启东市自来水厂有限公司钢管2026-2027年度采购项目</w:t>
            </w:r>
          </w:p>
        </w:tc>
      </w:tr>
      <w:tr w14:paraId="1A28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50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序号</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D753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材料名称</w:t>
            </w: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D41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规格/型号</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AEEE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预估数量</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3EB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单位</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8CD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单价（元）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649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合价（元）</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237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报价品牌</w:t>
            </w:r>
          </w:p>
        </w:tc>
      </w:tr>
      <w:tr w14:paraId="45E81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C4E3">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color w:val="000000"/>
                <w:kern w:val="0"/>
                <w:sz w:val="22"/>
                <w:szCs w:val="22"/>
              </w:rPr>
              <w:t>1</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83C6A">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螺旋钢管（含防腐）</w:t>
            </w: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77DDB">
            <w:pPr>
              <w:widowControl/>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kern w:val="0"/>
                <w:sz w:val="22"/>
                <w:szCs w:val="22"/>
                <w:highlight w:val="none"/>
              </w:rPr>
              <w:t>DN200-1400</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(含DN200、DN1400）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0074B">
            <w:pPr>
              <w:widowControl/>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kern w:val="0"/>
                <w:sz w:val="22"/>
                <w:szCs w:val="22"/>
              </w:rPr>
              <w:t>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331">
            <w:pPr>
              <w:widowControl/>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rPr>
              <w:t>350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B8D8">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F769">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9954">
            <w:pPr>
              <w:jc w:val="center"/>
              <w:rPr>
                <w:rFonts w:hint="eastAsia" w:ascii="宋体" w:hAnsi="宋体" w:eastAsia="宋体" w:cs="宋体"/>
                <w:i w:val="0"/>
                <w:iCs w:val="0"/>
                <w:color w:val="000000"/>
                <w:sz w:val="22"/>
                <w:szCs w:val="22"/>
                <w:u w:val="none"/>
              </w:rPr>
            </w:pPr>
          </w:p>
        </w:tc>
      </w:tr>
      <w:tr w14:paraId="1FA3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494A">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rPr>
              <w:t>2</w:t>
            </w:r>
          </w:p>
        </w:tc>
        <w:tc>
          <w:tcPr>
            <w:tcW w:w="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1B7B7">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sz w:val="22"/>
                <w:szCs w:val="22"/>
              </w:rPr>
              <w:t>无缝钢管（含防腐）</w:t>
            </w: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D345C">
            <w:pPr>
              <w:widowControl/>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kern w:val="0"/>
                <w:sz w:val="22"/>
                <w:szCs w:val="22"/>
                <w:highlight w:val="none"/>
              </w:rPr>
              <w:t>DN100-200</w:t>
            </w:r>
            <w:r>
              <w:rPr>
                <w:rFonts w:hint="eastAsia" w:ascii="宋体" w:hAnsi="宋体" w:cs="宋体"/>
                <w:kern w:val="0"/>
                <w:sz w:val="22"/>
                <w:szCs w:val="22"/>
                <w:highlight w:val="none"/>
              </w:rPr>
              <w:br w:type="textWrapping"/>
            </w:r>
            <w:r>
              <w:rPr>
                <w:rFonts w:hint="eastAsia" w:ascii="宋体" w:hAnsi="宋体" w:cs="宋体"/>
                <w:kern w:val="0"/>
                <w:sz w:val="22"/>
                <w:szCs w:val="22"/>
                <w:highlight w:val="none"/>
              </w:rPr>
              <w:t>(不含DN200）</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377B">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kern w:val="0"/>
                <w:sz w:val="22"/>
                <w:szCs w:val="22"/>
              </w:rPr>
              <w:t>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A09C">
            <w:pPr>
              <w:widowControl/>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kern w:val="0"/>
                <w:sz w:val="22"/>
                <w:szCs w:val="22"/>
                <w:lang w:val="en-US" w:eastAsia="zh-CN"/>
              </w:rPr>
              <w:t>100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0723">
            <w:pPr>
              <w:jc w:val="center"/>
              <w:rPr>
                <w:rFonts w:hint="eastAsia" w:ascii="宋体" w:hAnsi="宋体" w:eastAsia="宋体" w:cs="宋体"/>
                <w:i w:val="0"/>
                <w:iCs w:val="0"/>
                <w:color w:val="000000"/>
                <w:sz w:val="22"/>
                <w:szCs w:val="22"/>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EFEE">
            <w:pPr>
              <w:jc w:val="center"/>
              <w:rPr>
                <w:rFonts w:hint="eastAsia" w:ascii="宋体" w:hAnsi="宋体" w:eastAsia="宋体" w:cs="宋体"/>
                <w:i w:val="0"/>
                <w:iCs w:val="0"/>
                <w:color w:val="000000"/>
                <w:sz w:val="22"/>
                <w:szCs w:val="22"/>
                <w:u w:val="none"/>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A294">
            <w:pPr>
              <w:jc w:val="center"/>
              <w:rPr>
                <w:rFonts w:hint="eastAsia" w:ascii="宋体" w:hAnsi="宋体" w:eastAsia="宋体" w:cs="宋体"/>
                <w:i w:val="0"/>
                <w:iCs w:val="0"/>
                <w:color w:val="000000"/>
                <w:sz w:val="22"/>
                <w:szCs w:val="22"/>
                <w:u w:val="none"/>
              </w:rPr>
            </w:pPr>
          </w:p>
        </w:tc>
      </w:tr>
      <w:tr w14:paraId="2A1A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8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88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29030" cy="10795"/>
                  <wp:effectExtent l="0" t="0" r="0" b="0"/>
                  <wp:wrapNone/>
                  <wp:docPr id="6" name="Picture_12"/>
                  <wp:cNvGraphicFramePr/>
                  <a:graphic xmlns:a="http://schemas.openxmlformats.org/drawingml/2006/main">
                    <a:graphicData uri="http://schemas.openxmlformats.org/drawingml/2006/picture">
                      <pic:pic xmlns:pic="http://schemas.openxmlformats.org/drawingml/2006/picture">
                        <pic:nvPicPr>
                          <pic:cNvPr id="6" name="Picture_12"/>
                          <pic:cNvPicPr/>
                        </pic:nvPicPr>
                        <pic:blipFill>
                          <a:blip r:embed="rId5"/>
                          <a:stretch>
                            <a:fillRect/>
                          </a:stretch>
                        </pic:blipFill>
                        <pic:spPr>
                          <a:xfrm>
                            <a:off x="0" y="0"/>
                            <a:ext cx="1129030" cy="1079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86155" cy="0"/>
                  <wp:effectExtent l="0" t="0" r="0" b="0"/>
                  <wp:wrapNone/>
                  <wp:docPr id="5" name="Picture_16"/>
                  <wp:cNvGraphicFramePr/>
                  <a:graphic xmlns:a="http://schemas.openxmlformats.org/drawingml/2006/main">
                    <a:graphicData uri="http://schemas.openxmlformats.org/drawingml/2006/picture">
                      <pic:pic xmlns:pic="http://schemas.openxmlformats.org/drawingml/2006/picture">
                        <pic:nvPicPr>
                          <pic:cNvPr id="5" name="Picture_16"/>
                          <pic:cNvPicPr/>
                        </pic:nvPicPr>
                        <pic:blipFill>
                          <a:blip r:embed="rId6"/>
                          <a:stretch>
                            <a:fillRect/>
                          </a:stretch>
                        </pic:blipFill>
                        <pic:spPr>
                          <a:xfrm>
                            <a:off x="0" y="0"/>
                            <a:ext cx="98615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41070" cy="0"/>
                  <wp:effectExtent l="0" t="0" r="0" b="0"/>
                  <wp:wrapNone/>
                  <wp:docPr id="2" name="Picture_17"/>
                  <wp:cNvGraphicFramePr/>
                  <a:graphic xmlns:a="http://schemas.openxmlformats.org/drawingml/2006/main">
                    <a:graphicData uri="http://schemas.openxmlformats.org/drawingml/2006/picture">
                      <pic:pic xmlns:pic="http://schemas.openxmlformats.org/drawingml/2006/picture">
                        <pic:nvPicPr>
                          <pic:cNvPr id="2" name="Picture_17"/>
                          <pic:cNvPicPr/>
                        </pic:nvPicPr>
                        <pic:blipFill>
                          <a:blip r:embed="rId6"/>
                          <a:stretch>
                            <a:fillRect/>
                          </a:stretch>
                        </pic:blipFill>
                        <pic:spPr>
                          <a:xfrm>
                            <a:off x="0" y="0"/>
                            <a:ext cx="94107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79830" cy="0"/>
                  <wp:effectExtent l="0" t="0" r="0" b="0"/>
                  <wp:wrapNone/>
                  <wp:docPr id="12" name="图片_45"/>
                  <wp:cNvGraphicFramePr/>
                  <a:graphic xmlns:a="http://schemas.openxmlformats.org/drawingml/2006/main">
                    <a:graphicData uri="http://schemas.openxmlformats.org/drawingml/2006/picture">
                      <pic:pic xmlns:pic="http://schemas.openxmlformats.org/drawingml/2006/picture">
                        <pic:nvPicPr>
                          <pic:cNvPr id="12" name="图片_45"/>
                          <pic:cNvPicPr/>
                        </pic:nvPicPr>
                        <pic:blipFill>
                          <a:blip r:embed="rId6"/>
                          <a:stretch>
                            <a:fillRect/>
                          </a:stretch>
                        </pic:blipFill>
                        <pic:spPr>
                          <a:xfrm>
                            <a:off x="0" y="0"/>
                            <a:ext cx="117983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79830" cy="0"/>
                  <wp:effectExtent l="0" t="0" r="0" b="0"/>
                  <wp:wrapNone/>
                  <wp:docPr id="10" name="图片_35"/>
                  <wp:cNvGraphicFramePr/>
                  <a:graphic xmlns:a="http://schemas.openxmlformats.org/drawingml/2006/main">
                    <a:graphicData uri="http://schemas.openxmlformats.org/drawingml/2006/picture">
                      <pic:pic xmlns:pic="http://schemas.openxmlformats.org/drawingml/2006/picture">
                        <pic:nvPicPr>
                          <pic:cNvPr id="10" name="图片_35"/>
                          <pic:cNvPicPr/>
                        </pic:nvPicPr>
                        <pic:blipFill>
                          <a:blip r:embed="rId6"/>
                          <a:stretch>
                            <a:fillRect/>
                          </a:stretch>
                        </pic:blipFill>
                        <pic:spPr>
                          <a:xfrm>
                            <a:off x="0" y="0"/>
                            <a:ext cx="117983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1122045" cy="0"/>
                  <wp:effectExtent l="0" t="0" r="0" b="0"/>
                  <wp:wrapNone/>
                  <wp:docPr id="8" name="Picture_8"/>
                  <wp:cNvGraphicFramePr/>
                  <a:graphic xmlns:a="http://schemas.openxmlformats.org/drawingml/2006/main">
                    <a:graphicData uri="http://schemas.openxmlformats.org/drawingml/2006/picture">
                      <pic:pic xmlns:pic="http://schemas.openxmlformats.org/drawingml/2006/picture">
                        <pic:nvPicPr>
                          <pic:cNvPr id="8" name="Picture_8"/>
                          <pic:cNvPicPr/>
                        </pic:nvPicPr>
                        <pic:blipFill>
                          <a:blip r:embed="rId6"/>
                          <a:stretch>
                            <a:fillRect/>
                          </a:stretch>
                        </pic:blipFill>
                        <pic:spPr>
                          <a:xfrm>
                            <a:off x="0" y="0"/>
                            <a:ext cx="112204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831850" cy="0"/>
                  <wp:effectExtent l="0" t="0" r="0" b="0"/>
                  <wp:wrapNone/>
                  <wp:docPr id="1" name="Picture_10"/>
                  <wp:cNvGraphicFramePr/>
                  <a:graphic xmlns:a="http://schemas.openxmlformats.org/drawingml/2006/main">
                    <a:graphicData uri="http://schemas.openxmlformats.org/drawingml/2006/picture">
                      <pic:pic xmlns:pic="http://schemas.openxmlformats.org/drawingml/2006/picture">
                        <pic:nvPicPr>
                          <pic:cNvPr id="1" name="Picture_10"/>
                          <pic:cNvPicPr/>
                        </pic:nvPicPr>
                        <pic:blipFill>
                          <a:blip r:embed="rId6"/>
                          <a:stretch>
                            <a:fillRect/>
                          </a:stretch>
                        </pic:blipFill>
                        <pic:spPr>
                          <a:xfrm>
                            <a:off x="0" y="0"/>
                            <a:ext cx="83185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33450" cy="0"/>
                  <wp:effectExtent l="0" t="0" r="0" b="0"/>
                  <wp:wrapNone/>
                  <wp:docPr id="3" name="Picture_16_SpCnt_1"/>
                  <wp:cNvGraphicFramePr/>
                  <a:graphic xmlns:a="http://schemas.openxmlformats.org/drawingml/2006/main">
                    <a:graphicData uri="http://schemas.openxmlformats.org/drawingml/2006/picture">
                      <pic:pic xmlns:pic="http://schemas.openxmlformats.org/drawingml/2006/picture">
                        <pic:nvPicPr>
                          <pic:cNvPr id="3" name="Picture_16_SpCnt_1"/>
                          <pic:cNvPicPr/>
                        </pic:nvPicPr>
                        <pic:blipFill>
                          <a:blip r:embed="rId6"/>
                          <a:stretch>
                            <a:fillRect/>
                          </a:stretch>
                        </pic:blipFill>
                        <pic:spPr>
                          <a:xfrm>
                            <a:off x="0" y="0"/>
                            <a:ext cx="93345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782320" cy="0"/>
                  <wp:effectExtent l="0" t="0" r="0" b="0"/>
                  <wp:wrapNone/>
                  <wp:docPr id="4" name="Picture_21"/>
                  <wp:cNvGraphicFramePr/>
                  <a:graphic xmlns:a="http://schemas.openxmlformats.org/drawingml/2006/main">
                    <a:graphicData uri="http://schemas.openxmlformats.org/drawingml/2006/picture">
                      <pic:pic xmlns:pic="http://schemas.openxmlformats.org/drawingml/2006/picture">
                        <pic:nvPicPr>
                          <pic:cNvPr id="4" name="Picture_21"/>
                          <pic:cNvPicPr/>
                        </pic:nvPicPr>
                        <pic:blipFill>
                          <a:blip r:embed="rId6"/>
                          <a:stretch>
                            <a:fillRect/>
                          </a:stretch>
                        </pic:blipFill>
                        <pic:spPr>
                          <a:xfrm>
                            <a:off x="0" y="0"/>
                            <a:ext cx="78232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65200" cy="0"/>
                  <wp:effectExtent l="0" t="0" r="0" b="0"/>
                  <wp:wrapNone/>
                  <wp:docPr id="9" name="Picture_23"/>
                  <wp:cNvGraphicFramePr/>
                  <a:graphic xmlns:a="http://schemas.openxmlformats.org/drawingml/2006/main">
                    <a:graphicData uri="http://schemas.openxmlformats.org/drawingml/2006/picture">
                      <pic:pic xmlns:pic="http://schemas.openxmlformats.org/drawingml/2006/picture">
                        <pic:nvPicPr>
                          <pic:cNvPr id="9" name="Picture_23"/>
                          <pic:cNvPicPr/>
                        </pic:nvPicPr>
                        <pic:blipFill>
                          <a:blip r:embed="rId6"/>
                          <a:stretch>
                            <a:fillRect/>
                          </a:stretch>
                        </pic:blipFill>
                        <pic:spPr>
                          <a:xfrm>
                            <a:off x="0" y="0"/>
                            <a:ext cx="96520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953135" cy="0"/>
                  <wp:effectExtent l="0" t="0" r="0" b="0"/>
                  <wp:wrapNone/>
                  <wp:docPr id="7" name="Picture_5"/>
                  <wp:cNvGraphicFramePr/>
                  <a:graphic xmlns:a="http://schemas.openxmlformats.org/drawingml/2006/main">
                    <a:graphicData uri="http://schemas.openxmlformats.org/drawingml/2006/picture">
                      <pic:pic xmlns:pic="http://schemas.openxmlformats.org/drawingml/2006/picture">
                        <pic:nvPicPr>
                          <pic:cNvPr id="7" name="Picture_5"/>
                          <pic:cNvPicPr/>
                        </pic:nvPicPr>
                        <pic:blipFill>
                          <a:blip r:embed="rId6"/>
                          <a:stretch>
                            <a:fillRect/>
                          </a:stretch>
                        </pic:blipFill>
                        <pic:spPr>
                          <a:xfrm>
                            <a:off x="0" y="0"/>
                            <a:ext cx="953135"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666750</wp:posOffset>
                  </wp:positionH>
                  <wp:positionV relativeFrom="paragraph">
                    <wp:posOffset>0</wp:posOffset>
                  </wp:positionV>
                  <wp:extent cx="635000" cy="0"/>
                  <wp:effectExtent l="0" t="0" r="0" b="0"/>
                  <wp:wrapNone/>
                  <wp:docPr id="11" name="Picture_17_SpCnt_1"/>
                  <wp:cNvGraphicFramePr/>
                  <a:graphic xmlns:a="http://schemas.openxmlformats.org/drawingml/2006/main">
                    <a:graphicData uri="http://schemas.openxmlformats.org/drawingml/2006/picture">
                      <pic:pic xmlns:pic="http://schemas.openxmlformats.org/drawingml/2006/picture">
                        <pic:nvPicPr>
                          <pic:cNvPr id="11" name="Picture_17_SpCnt_1"/>
                          <pic:cNvPicPr/>
                        </pic:nvPicPr>
                        <pic:blipFill>
                          <a:blip r:embed="rId6"/>
                          <a:stretch>
                            <a:fillRect/>
                          </a:stretch>
                        </pic:blipFill>
                        <pic:spPr>
                          <a:xfrm>
                            <a:off x="0" y="0"/>
                            <a:ext cx="635000" cy="0"/>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lang w:val="en-US" w:eastAsia="zh-CN" w:bidi="ar"/>
              </w:rPr>
              <w:t>合计（元）</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98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44D">
            <w:pPr>
              <w:jc w:val="center"/>
              <w:rPr>
                <w:rFonts w:hint="eastAsia" w:ascii="宋体" w:hAnsi="宋体" w:eastAsia="宋体" w:cs="宋体"/>
                <w:b/>
                <w:bCs/>
                <w:i w:val="0"/>
                <w:iCs w:val="0"/>
                <w:color w:val="000000"/>
                <w:sz w:val="24"/>
                <w:szCs w:val="24"/>
                <w:u w:val="none"/>
              </w:rPr>
            </w:pPr>
          </w:p>
        </w:tc>
      </w:tr>
      <w:tr w14:paraId="38C6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4B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报价供应商（盖章）：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报价时间：    年   月   日</w:t>
            </w:r>
          </w:p>
        </w:tc>
      </w:tr>
    </w:tbl>
    <w:p w14:paraId="79171802">
      <w:pPr>
        <w:keepNext w:val="0"/>
        <w:keepLines w:val="0"/>
        <w:pageBreakBefore w:val="0"/>
        <w:widowControl w:val="0"/>
        <w:kinsoku/>
        <w:wordWrap/>
        <w:overflowPunct/>
        <w:topLinePunct w:val="0"/>
        <w:autoSpaceDE/>
        <w:autoSpaceDN/>
        <w:bidi w:val="0"/>
        <w:adjustRightInd/>
        <w:snapToGrid/>
        <w:spacing w:line="370" w:lineRule="exact"/>
        <w:jc w:val="both"/>
        <w:textAlignment w:val="auto"/>
        <w:rPr>
          <w:rStyle w:val="29"/>
          <w:rFonts w:hint="default" w:ascii="宋体" w:hAnsi="宋体" w:eastAsia="宋体" w:cs="宋体"/>
          <w:kern w:val="0"/>
          <w:sz w:val="24"/>
          <w:szCs w:val="24"/>
          <w:highlight w:val="none"/>
          <w:lang w:val="en-US" w:eastAsia="zh-CN" w:bidi="ar-SA"/>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DD014"/>
    <w:multiLevelType w:val="singleLevel"/>
    <w:tmpl w:val="811DD0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7D58B2"/>
    <w:rsid w:val="00A237DF"/>
    <w:rsid w:val="00BF0E19"/>
    <w:rsid w:val="00C51756"/>
    <w:rsid w:val="00CA31DF"/>
    <w:rsid w:val="01203FAE"/>
    <w:rsid w:val="013A07FE"/>
    <w:rsid w:val="01F571E8"/>
    <w:rsid w:val="02004145"/>
    <w:rsid w:val="0215722A"/>
    <w:rsid w:val="021708AC"/>
    <w:rsid w:val="0264611C"/>
    <w:rsid w:val="02783976"/>
    <w:rsid w:val="02ED1C6E"/>
    <w:rsid w:val="03237D85"/>
    <w:rsid w:val="03EC63FF"/>
    <w:rsid w:val="04167BE0"/>
    <w:rsid w:val="041C0406"/>
    <w:rsid w:val="049774B8"/>
    <w:rsid w:val="04A647CA"/>
    <w:rsid w:val="04D70E27"/>
    <w:rsid w:val="04FE1868"/>
    <w:rsid w:val="053E4A03"/>
    <w:rsid w:val="055210FB"/>
    <w:rsid w:val="060F014D"/>
    <w:rsid w:val="064D5921"/>
    <w:rsid w:val="066F6FA2"/>
    <w:rsid w:val="06C9698C"/>
    <w:rsid w:val="06DE411B"/>
    <w:rsid w:val="081F710D"/>
    <w:rsid w:val="08767CBA"/>
    <w:rsid w:val="08EC0C19"/>
    <w:rsid w:val="08FA6E92"/>
    <w:rsid w:val="091B5A29"/>
    <w:rsid w:val="094445B2"/>
    <w:rsid w:val="0978425B"/>
    <w:rsid w:val="09813405"/>
    <w:rsid w:val="09CE1802"/>
    <w:rsid w:val="0ADA1283"/>
    <w:rsid w:val="0B837613"/>
    <w:rsid w:val="0B907F82"/>
    <w:rsid w:val="0BD51E39"/>
    <w:rsid w:val="0BE635A6"/>
    <w:rsid w:val="0C807FF6"/>
    <w:rsid w:val="0D18108F"/>
    <w:rsid w:val="0D645222"/>
    <w:rsid w:val="0D9A7247"/>
    <w:rsid w:val="0E377BE4"/>
    <w:rsid w:val="0EE36B7D"/>
    <w:rsid w:val="0F0243F5"/>
    <w:rsid w:val="0FBC1346"/>
    <w:rsid w:val="10545A22"/>
    <w:rsid w:val="108154AD"/>
    <w:rsid w:val="10A42315"/>
    <w:rsid w:val="10D80401"/>
    <w:rsid w:val="11074842"/>
    <w:rsid w:val="114710E3"/>
    <w:rsid w:val="1158509E"/>
    <w:rsid w:val="11627CCB"/>
    <w:rsid w:val="119C142F"/>
    <w:rsid w:val="11B1134F"/>
    <w:rsid w:val="123553DF"/>
    <w:rsid w:val="12ED7A68"/>
    <w:rsid w:val="12F62DC0"/>
    <w:rsid w:val="13035AF1"/>
    <w:rsid w:val="13121E77"/>
    <w:rsid w:val="13455F77"/>
    <w:rsid w:val="136C3083"/>
    <w:rsid w:val="139D323C"/>
    <w:rsid w:val="14C14ACF"/>
    <w:rsid w:val="14D24991"/>
    <w:rsid w:val="14F72E20"/>
    <w:rsid w:val="15B72A35"/>
    <w:rsid w:val="15C50828"/>
    <w:rsid w:val="17BB0135"/>
    <w:rsid w:val="18DA6CE0"/>
    <w:rsid w:val="18EB2C9C"/>
    <w:rsid w:val="19267830"/>
    <w:rsid w:val="1AED5BB7"/>
    <w:rsid w:val="1AFA0F74"/>
    <w:rsid w:val="1B0210CF"/>
    <w:rsid w:val="1B3E3557"/>
    <w:rsid w:val="1B542D7A"/>
    <w:rsid w:val="1B932687"/>
    <w:rsid w:val="1BCA6B98"/>
    <w:rsid w:val="1C4F709D"/>
    <w:rsid w:val="1CAC06B2"/>
    <w:rsid w:val="1CE41EDC"/>
    <w:rsid w:val="1E3B3D7D"/>
    <w:rsid w:val="1E652BA8"/>
    <w:rsid w:val="1E6C03DB"/>
    <w:rsid w:val="1E8B21FB"/>
    <w:rsid w:val="1F642E60"/>
    <w:rsid w:val="1FD71884"/>
    <w:rsid w:val="200F7270"/>
    <w:rsid w:val="20B761AC"/>
    <w:rsid w:val="214967B1"/>
    <w:rsid w:val="219F63D1"/>
    <w:rsid w:val="2262713B"/>
    <w:rsid w:val="228D26CE"/>
    <w:rsid w:val="22FB3ADB"/>
    <w:rsid w:val="23A777BF"/>
    <w:rsid w:val="240E2A35"/>
    <w:rsid w:val="24194B61"/>
    <w:rsid w:val="25381017"/>
    <w:rsid w:val="25E66CC5"/>
    <w:rsid w:val="25FB4BE7"/>
    <w:rsid w:val="266A16A4"/>
    <w:rsid w:val="270B5BBD"/>
    <w:rsid w:val="277B51EB"/>
    <w:rsid w:val="280A1C9D"/>
    <w:rsid w:val="281423EE"/>
    <w:rsid w:val="289D748C"/>
    <w:rsid w:val="2940272E"/>
    <w:rsid w:val="2940493E"/>
    <w:rsid w:val="29802F8C"/>
    <w:rsid w:val="2A924D25"/>
    <w:rsid w:val="2B54029B"/>
    <w:rsid w:val="2B5534F0"/>
    <w:rsid w:val="2CC66F08"/>
    <w:rsid w:val="2CEF3FB8"/>
    <w:rsid w:val="2D240A4D"/>
    <w:rsid w:val="2D7E3C87"/>
    <w:rsid w:val="2DA63E50"/>
    <w:rsid w:val="2E52196D"/>
    <w:rsid w:val="2ED5212C"/>
    <w:rsid w:val="2ED81174"/>
    <w:rsid w:val="2F4D3614"/>
    <w:rsid w:val="2F566C69"/>
    <w:rsid w:val="2FB90FA6"/>
    <w:rsid w:val="300761B5"/>
    <w:rsid w:val="308710A4"/>
    <w:rsid w:val="30C90D87"/>
    <w:rsid w:val="30F33128"/>
    <w:rsid w:val="312C5B19"/>
    <w:rsid w:val="322A22B1"/>
    <w:rsid w:val="32AD0A52"/>
    <w:rsid w:val="32EE540A"/>
    <w:rsid w:val="342D4B90"/>
    <w:rsid w:val="34321327"/>
    <w:rsid w:val="34C000EE"/>
    <w:rsid w:val="35DF103A"/>
    <w:rsid w:val="3609112E"/>
    <w:rsid w:val="36C56482"/>
    <w:rsid w:val="36CC2710"/>
    <w:rsid w:val="36F07953"/>
    <w:rsid w:val="36FD79CA"/>
    <w:rsid w:val="3701395E"/>
    <w:rsid w:val="37490E61"/>
    <w:rsid w:val="37C625ED"/>
    <w:rsid w:val="37D42E21"/>
    <w:rsid w:val="37EC5349"/>
    <w:rsid w:val="37F54B45"/>
    <w:rsid w:val="380B25BB"/>
    <w:rsid w:val="3862667F"/>
    <w:rsid w:val="3885236D"/>
    <w:rsid w:val="38AC78FA"/>
    <w:rsid w:val="391E3890"/>
    <w:rsid w:val="39534219"/>
    <w:rsid w:val="3A98792B"/>
    <w:rsid w:val="3AD80D94"/>
    <w:rsid w:val="3AF066C3"/>
    <w:rsid w:val="3B314F27"/>
    <w:rsid w:val="3B5B5607"/>
    <w:rsid w:val="3BEA51F5"/>
    <w:rsid w:val="3C6A6406"/>
    <w:rsid w:val="3C6B3628"/>
    <w:rsid w:val="3D2C0ADF"/>
    <w:rsid w:val="3E1E176E"/>
    <w:rsid w:val="3E202F15"/>
    <w:rsid w:val="3E5755E5"/>
    <w:rsid w:val="3E9078C4"/>
    <w:rsid w:val="3F604F9A"/>
    <w:rsid w:val="404B6C28"/>
    <w:rsid w:val="405A40DF"/>
    <w:rsid w:val="41F540C0"/>
    <w:rsid w:val="420951A2"/>
    <w:rsid w:val="424A7A77"/>
    <w:rsid w:val="42875CFB"/>
    <w:rsid w:val="42C92294"/>
    <w:rsid w:val="43132246"/>
    <w:rsid w:val="440E1469"/>
    <w:rsid w:val="445175A7"/>
    <w:rsid w:val="44657B81"/>
    <w:rsid w:val="4496320C"/>
    <w:rsid w:val="45AC718B"/>
    <w:rsid w:val="45FA78C3"/>
    <w:rsid w:val="468A0B4E"/>
    <w:rsid w:val="47675677"/>
    <w:rsid w:val="47D76015"/>
    <w:rsid w:val="47F72214"/>
    <w:rsid w:val="484A67E7"/>
    <w:rsid w:val="48F53072"/>
    <w:rsid w:val="4916491B"/>
    <w:rsid w:val="492B03C7"/>
    <w:rsid w:val="494621F7"/>
    <w:rsid w:val="4B5F25AA"/>
    <w:rsid w:val="4C3F0C75"/>
    <w:rsid w:val="4C7F348C"/>
    <w:rsid w:val="4D6B792C"/>
    <w:rsid w:val="4D7B2007"/>
    <w:rsid w:val="4E0F02B7"/>
    <w:rsid w:val="4EA07161"/>
    <w:rsid w:val="4F25246D"/>
    <w:rsid w:val="4FCA0126"/>
    <w:rsid w:val="4FD01CC8"/>
    <w:rsid w:val="4FDC68BF"/>
    <w:rsid w:val="4FF05EC6"/>
    <w:rsid w:val="50DD4805"/>
    <w:rsid w:val="50EA7F43"/>
    <w:rsid w:val="50F06B23"/>
    <w:rsid w:val="512822A5"/>
    <w:rsid w:val="513973A6"/>
    <w:rsid w:val="51BB2504"/>
    <w:rsid w:val="51CB0999"/>
    <w:rsid w:val="522B6958"/>
    <w:rsid w:val="52304CA0"/>
    <w:rsid w:val="52E464FE"/>
    <w:rsid w:val="52F413D5"/>
    <w:rsid w:val="54F36E09"/>
    <w:rsid w:val="55621614"/>
    <w:rsid w:val="558820D0"/>
    <w:rsid w:val="55991722"/>
    <w:rsid w:val="55D371F6"/>
    <w:rsid w:val="55E71B19"/>
    <w:rsid w:val="56EC06F3"/>
    <w:rsid w:val="57346FE0"/>
    <w:rsid w:val="57A903B8"/>
    <w:rsid w:val="57CC0FC7"/>
    <w:rsid w:val="57E254BF"/>
    <w:rsid w:val="57F83763"/>
    <w:rsid w:val="588418A2"/>
    <w:rsid w:val="59796F2C"/>
    <w:rsid w:val="59DB49CF"/>
    <w:rsid w:val="59EC3BA2"/>
    <w:rsid w:val="5A161A30"/>
    <w:rsid w:val="5A3B2D3C"/>
    <w:rsid w:val="5A683FFF"/>
    <w:rsid w:val="5A6C32DD"/>
    <w:rsid w:val="5A880124"/>
    <w:rsid w:val="5AA769EB"/>
    <w:rsid w:val="5B303F63"/>
    <w:rsid w:val="5B321A89"/>
    <w:rsid w:val="5B351579"/>
    <w:rsid w:val="5BFE2505"/>
    <w:rsid w:val="5C163158"/>
    <w:rsid w:val="5C3C5495"/>
    <w:rsid w:val="5C664E8E"/>
    <w:rsid w:val="5C877BB2"/>
    <w:rsid w:val="5DBF29C4"/>
    <w:rsid w:val="5EEC63F2"/>
    <w:rsid w:val="5F5E0F4F"/>
    <w:rsid w:val="603E1CE2"/>
    <w:rsid w:val="60803296"/>
    <w:rsid w:val="60A76FAB"/>
    <w:rsid w:val="60DB227B"/>
    <w:rsid w:val="60DF1D6B"/>
    <w:rsid w:val="61430B52"/>
    <w:rsid w:val="627D7A8D"/>
    <w:rsid w:val="62D85246"/>
    <w:rsid w:val="631F5A7F"/>
    <w:rsid w:val="6421269A"/>
    <w:rsid w:val="65297A59"/>
    <w:rsid w:val="662752EF"/>
    <w:rsid w:val="66682803"/>
    <w:rsid w:val="66DD5F97"/>
    <w:rsid w:val="6818078E"/>
    <w:rsid w:val="683A3333"/>
    <w:rsid w:val="68BA0755"/>
    <w:rsid w:val="68BE670A"/>
    <w:rsid w:val="68E65C61"/>
    <w:rsid w:val="693F2885"/>
    <w:rsid w:val="69782D5D"/>
    <w:rsid w:val="69D01A3D"/>
    <w:rsid w:val="6A06480C"/>
    <w:rsid w:val="6A927E4E"/>
    <w:rsid w:val="6A955B90"/>
    <w:rsid w:val="6AA33E09"/>
    <w:rsid w:val="6B342BA7"/>
    <w:rsid w:val="6BA53BB1"/>
    <w:rsid w:val="6C2E004A"/>
    <w:rsid w:val="6CF54EC6"/>
    <w:rsid w:val="6D4D62AE"/>
    <w:rsid w:val="6D655CEE"/>
    <w:rsid w:val="6D983C19"/>
    <w:rsid w:val="6D9F0708"/>
    <w:rsid w:val="6DCC2A91"/>
    <w:rsid w:val="6EA42846"/>
    <w:rsid w:val="6F8F0EBD"/>
    <w:rsid w:val="6FA36659"/>
    <w:rsid w:val="6FAB31C3"/>
    <w:rsid w:val="6FB438A3"/>
    <w:rsid w:val="701D01BA"/>
    <w:rsid w:val="701F75C9"/>
    <w:rsid w:val="703F45D4"/>
    <w:rsid w:val="708B5A6B"/>
    <w:rsid w:val="708F5A33"/>
    <w:rsid w:val="71072C9F"/>
    <w:rsid w:val="71972326"/>
    <w:rsid w:val="71E73175"/>
    <w:rsid w:val="724D47CD"/>
    <w:rsid w:val="736E263D"/>
    <w:rsid w:val="73911159"/>
    <w:rsid w:val="73A94FD8"/>
    <w:rsid w:val="73F3271F"/>
    <w:rsid w:val="747E1443"/>
    <w:rsid w:val="74D527BF"/>
    <w:rsid w:val="74F23F66"/>
    <w:rsid w:val="75295853"/>
    <w:rsid w:val="755113BB"/>
    <w:rsid w:val="755D5634"/>
    <w:rsid w:val="78E33F6B"/>
    <w:rsid w:val="794C38BE"/>
    <w:rsid w:val="79852FF6"/>
    <w:rsid w:val="798D5B7B"/>
    <w:rsid w:val="7A2B7F7C"/>
    <w:rsid w:val="7A304F8E"/>
    <w:rsid w:val="7ACC2155"/>
    <w:rsid w:val="7C156B31"/>
    <w:rsid w:val="7C5E095D"/>
    <w:rsid w:val="7CB80EEC"/>
    <w:rsid w:val="7D105E6B"/>
    <w:rsid w:val="7DD6055F"/>
    <w:rsid w:val="7DD66E82"/>
    <w:rsid w:val="7E4E1E86"/>
    <w:rsid w:val="7EA5419C"/>
    <w:rsid w:val="7ED20D09"/>
    <w:rsid w:val="7F121106"/>
    <w:rsid w:val="7F131561"/>
    <w:rsid w:val="7F1A7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8"/>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8"/>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character" w:styleId="20">
    <w:name w:val="Hyperlink"/>
    <w:basedOn w:val="19"/>
    <w:semiHidden/>
    <w:unhideWhenUsed/>
    <w:qFormat/>
    <w:uiPriority w:val="99"/>
    <w:rPr>
      <w:color w:val="0000FF"/>
      <w:u w:val="single"/>
    </w:rPr>
  </w:style>
  <w:style w:type="paragraph" w:customStyle="1" w:styleId="21">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2">
    <w:name w:val="标题 1 Char"/>
    <w:basedOn w:val="19"/>
    <w:link w:val="2"/>
    <w:autoRedefine/>
    <w:qFormat/>
    <w:uiPriority w:val="9"/>
    <w:rPr>
      <w:b/>
      <w:bCs/>
      <w:kern w:val="44"/>
      <w:sz w:val="44"/>
      <w:szCs w:val="44"/>
    </w:rPr>
  </w:style>
  <w:style w:type="character" w:customStyle="1" w:styleId="23">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24">
    <w:name w:val="标题 3 Char"/>
    <w:basedOn w:val="19"/>
    <w:link w:val="4"/>
    <w:autoRedefine/>
    <w:qFormat/>
    <w:uiPriority w:val="9"/>
    <w:rPr>
      <w:b/>
      <w:bCs/>
      <w:sz w:val="32"/>
      <w:szCs w:val="32"/>
    </w:rPr>
  </w:style>
  <w:style w:type="character" w:customStyle="1" w:styleId="25">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26">
    <w:name w:val="标题 5 Char"/>
    <w:basedOn w:val="19"/>
    <w:link w:val="6"/>
    <w:autoRedefine/>
    <w:qFormat/>
    <w:uiPriority w:val="9"/>
    <w:rPr>
      <w:b/>
      <w:bCs/>
      <w:sz w:val="28"/>
      <w:szCs w:val="28"/>
    </w:rPr>
  </w:style>
  <w:style w:type="character" w:customStyle="1" w:styleId="27">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28">
    <w:name w:val="正文文本 Char"/>
    <w:basedOn w:val="19"/>
    <w:link w:val="8"/>
    <w:autoRedefine/>
    <w:qFormat/>
    <w:uiPriority w:val="0"/>
    <w:rPr>
      <w:rFonts w:ascii="Times New Roman" w:hAnsi="Times New Roman" w:eastAsia="宋体" w:cs="Times New Roman"/>
      <w:kern w:val="0"/>
      <w:sz w:val="24"/>
      <w:szCs w:val="24"/>
    </w:rPr>
  </w:style>
  <w:style w:type="character" w:customStyle="1" w:styleId="29">
    <w:name w:val="NormalCharacter"/>
    <w:autoRedefine/>
    <w:qFormat/>
    <w:uiPriority w:val="99"/>
  </w:style>
  <w:style w:type="character" w:customStyle="1" w:styleId="30">
    <w:name w:val="font21"/>
    <w:basedOn w:val="19"/>
    <w:autoRedefine/>
    <w:qFormat/>
    <w:uiPriority w:val="0"/>
    <w:rPr>
      <w:rFonts w:hint="eastAsia" w:ascii="宋体" w:hAnsi="宋体" w:eastAsia="宋体" w:cs="宋体"/>
      <w:color w:val="000000"/>
      <w:sz w:val="20"/>
      <w:szCs w:val="20"/>
      <w:u w:val="none"/>
    </w:rPr>
  </w:style>
  <w:style w:type="character" w:customStyle="1" w:styleId="31">
    <w:name w:val="font41"/>
    <w:basedOn w:val="19"/>
    <w:qFormat/>
    <w:uiPriority w:val="0"/>
    <w:rPr>
      <w:rFonts w:ascii="Arial" w:hAnsi="Arial" w:cs="Arial"/>
      <w:color w:val="000000"/>
      <w:sz w:val="24"/>
      <w:szCs w:val="24"/>
      <w:u w:val="none"/>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2792</Words>
  <Characters>3063</Characters>
  <Lines>39</Lines>
  <Paragraphs>10</Paragraphs>
  <TotalTime>0</TotalTime>
  <ScaleCrop>false</ScaleCrop>
  <LinksUpToDate>false</LinksUpToDate>
  <CharactersWithSpaces>3094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2023-02-08T01:41:00Z</cp:lastPrinted>
  <dcterms:modified xsi:type="dcterms:W3CDTF">2026-06-16T02:50:39Z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758952547FE147F38857B52D64969FAD_13</vt:lpwstr>
  </property>
  <property fmtid="{D5CDD505-2E9C-101B-9397-08002B2CF9AE}" pid="4" name="KSOTemplateDocerSaveRecord">
    <vt:lpwstr>eyJoZGlkIjoiZTNlMmY5YjcxZTRkZjg5N2MyMWI3YzFkZTQ2OTdlZWQiLCJ1c2VySWQiOiI0NTEyNTg0MjYifQ==</vt:lpwstr>
  </property>
</Properties>
</file>